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app0.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d27a3a155" Type="http://schemas.openxmlformats.org/officeDocument/2006/extended-properties" Target="docProps/app0.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83C" w:rsidRDefault="002A259E">
      <w:pPr>
        <w:spacing w:after="120" w:line="346" w:lineRule="auto"/>
        <w:jc w:val="center"/>
        <w:rPr>
          <w:rFonts w:ascii="Tahoma" w:eastAsia="Tahoma" w:hAnsi="Tahoma" w:cs="Tahoma"/>
          <w:b/>
          <w:sz w:val="24"/>
        </w:rPr>
      </w:pPr>
      <w:bookmarkStart w:id="0" w:name="_GoBack"/>
      <w:bookmarkEnd w:id="0"/>
      <w:r>
        <w:rPr>
          <w:rFonts w:ascii="Tahoma" w:eastAsia="Tahoma" w:hAnsi="Tahoma" w:cs="Tahoma"/>
          <w:b/>
          <w:color w:val="117E05"/>
          <w:sz w:val="24"/>
        </w:rPr>
        <w:t>Flex Pharma Reports First Quarter 2015 Financial Results</w:t>
      </w:r>
      <w:bookmarkStart w:id="1" w:name="Intro_and_Business_Highlights"/>
      <w:bookmarkEnd w:id="1"/>
    </w:p>
    <w:p w:rsidR="0006683C" w:rsidRDefault="002A259E">
      <w:pPr>
        <w:spacing w:after="120" w:line="346" w:lineRule="auto"/>
        <w:jc w:val="center"/>
        <w:rPr>
          <w:rFonts w:ascii="Tahoma" w:eastAsia="Tahoma" w:hAnsi="Tahoma" w:cs="Tahoma"/>
          <w:i/>
          <w:sz w:val="24"/>
        </w:rPr>
      </w:pPr>
      <w:r>
        <w:rPr>
          <w:rFonts w:ascii="Tahoma" w:eastAsia="Tahoma" w:hAnsi="Tahoma" w:cs="Tahoma"/>
          <w:i/>
          <w:sz w:val="24"/>
        </w:rPr>
        <w:t>Conference Call Scheduled Today at 9:00 a.m. ET</w:t>
      </w:r>
    </w:p>
    <w:p w:rsidR="0006683C" w:rsidRDefault="002A259E">
      <w:pPr>
        <w:spacing w:line="346" w:lineRule="auto"/>
        <w:rPr>
          <w:rFonts w:ascii="Tahoma" w:eastAsia="Tahoma" w:hAnsi="Tahoma" w:cs="Tahoma"/>
          <w:sz w:val="24"/>
        </w:rPr>
      </w:pPr>
      <w:hyperlink r:id="rId8">
        <w:r>
          <w:rPr>
            <w:rFonts w:ascii="Tahoma" w:eastAsia="Tahoma" w:hAnsi="Tahoma" w:cs="Tahoma"/>
            <w:color w:val="0000FF"/>
            <w:sz w:val="24"/>
            <w:u w:val="single" w:color="0000FF"/>
          </w:rPr>
          <w:t>Click to Tweet this News</w:t>
        </w:r>
      </w:hyperlink>
    </w:p>
    <w:p w:rsidR="0006683C" w:rsidRDefault="0006683C">
      <w:pPr>
        <w:spacing w:line="346" w:lineRule="auto"/>
        <w:jc w:val="center"/>
        <w:rPr>
          <w:rFonts w:ascii="Tahoma" w:eastAsia="Tahoma" w:hAnsi="Tahoma" w:cs="Tahoma"/>
          <w:sz w:val="24"/>
        </w:rPr>
      </w:pPr>
    </w:p>
    <w:p w:rsidR="0006683C" w:rsidRDefault="002A259E">
      <w:pPr>
        <w:spacing w:line="346" w:lineRule="auto"/>
        <w:rPr>
          <w:rFonts w:ascii="Tahoma" w:eastAsia="Tahoma" w:hAnsi="Tahoma" w:cs="Tahoma"/>
          <w:sz w:val="24"/>
        </w:rPr>
      </w:pPr>
      <w:r>
        <w:rPr>
          <w:rFonts w:ascii="Tahoma" w:eastAsia="Tahoma" w:hAnsi="Tahoma" w:cs="Tahoma"/>
          <w:sz w:val="24"/>
        </w:rPr>
        <w:t>May 6, 2015</w:t>
      </w:r>
    </w:p>
    <w:p w:rsidR="0006683C" w:rsidRDefault="0006683C">
      <w:pPr>
        <w:spacing w:line="288" w:lineRule="auto"/>
      </w:pPr>
    </w:p>
    <w:p w:rsidR="0006683C" w:rsidRDefault="002A259E">
      <w:pPr>
        <w:spacing w:line="288" w:lineRule="auto"/>
        <w:rPr>
          <w:rFonts w:ascii="Tahoma" w:eastAsia="Tahoma" w:hAnsi="Tahoma" w:cs="Tahoma"/>
          <w:sz w:val="24"/>
        </w:rPr>
      </w:pPr>
      <w:r>
        <w:rPr>
          <w:rFonts w:ascii="Tahoma" w:eastAsia="Tahoma" w:hAnsi="Tahoma" w:cs="Tahoma"/>
          <w:sz w:val="24"/>
        </w:rPr>
        <w:t>Boston, MA - Flex Pharma, Inc. (NASDAQ: FLKS), a biotechnology company that is developing innovative and proprietary treatments for exercise-associated muscle cramps, nocturnal leg cramps, and spasms associated with severe neuromuscular conditions, today r</w:t>
      </w:r>
      <w:r>
        <w:rPr>
          <w:rFonts w:ascii="Tahoma" w:eastAsia="Tahoma" w:hAnsi="Tahoma" w:cs="Tahoma"/>
          <w:sz w:val="24"/>
        </w:rPr>
        <w:t>eported financial results for the quarter ended March 31, 2015, and provided an update on its clinical development and corporate activities.</w:t>
      </w:r>
    </w:p>
    <w:p w:rsidR="0006683C" w:rsidRDefault="0006683C">
      <w:pPr>
        <w:spacing w:line="288" w:lineRule="auto"/>
        <w:ind w:hanging="720"/>
        <w:rPr>
          <w:rFonts w:ascii="Tahoma" w:eastAsia="Tahoma" w:hAnsi="Tahoma" w:cs="Tahoma"/>
          <w:sz w:val="24"/>
        </w:rPr>
      </w:pPr>
    </w:p>
    <w:p w:rsidR="0006683C" w:rsidRDefault="002A259E">
      <w:pPr>
        <w:spacing w:line="288" w:lineRule="auto"/>
        <w:rPr>
          <w:rFonts w:ascii="Tahoma" w:eastAsia="Tahoma" w:hAnsi="Tahoma" w:cs="Tahoma"/>
          <w:sz w:val="24"/>
        </w:rPr>
      </w:pPr>
      <w:r>
        <w:rPr>
          <w:rFonts w:ascii="Tahoma" w:eastAsia="Tahoma" w:hAnsi="Tahoma" w:cs="Tahoma"/>
          <w:sz w:val="24"/>
        </w:rPr>
        <w:t xml:space="preserve">“We were pleased to present our human proof-of-concept data in an oral platform presentation at the recent annual </w:t>
      </w:r>
      <w:r>
        <w:rPr>
          <w:rFonts w:ascii="Tahoma" w:eastAsia="Tahoma" w:hAnsi="Tahoma" w:cs="Tahoma"/>
          <w:sz w:val="24"/>
        </w:rPr>
        <w:t>meeting of the American Academy of Neurology (AAN) as we continue to make clinical progress with the initiation of our studies in nocturnal leg cramps and potentially other settings,” stated Christoph Westphal, M.D., Ph.D., Chairman and Chief Executive Off</w:t>
      </w:r>
      <w:r>
        <w:rPr>
          <w:rFonts w:ascii="Tahoma" w:eastAsia="Tahoma" w:hAnsi="Tahoma" w:cs="Tahoma"/>
          <w:sz w:val="24"/>
        </w:rPr>
        <w:t>icer of Flex Pharma. “Additionally, the recent NSF certification of our proprietary formulation is a step forward for our consumer product that we expect to begin commercializing in 2016.”</w:t>
      </w:r>
    </w:p>
    <w:p w:rsidR="0006683C" w:rsidRDefault="0006683C">
      <w:pPr>
        <w:spacing w:line="288" w:lineRule="auto"/>
        <w:rPr>
          <w:rFonts w:ascii="Tahoma" w:eastAsia="Tahoma" w:hAnsi="Tahoma" w:cs="Tahoma"/>
          <w:sz w:val="24"/>
        </w:rPr>
      </w:pPr>
    </w:p>
    <w:p w:rsidR="0006683C" w:rsidRDefault="002A259E">
      <w:pPr>
        <w:spacing w:line="288" w:lineRule="auto"/>
        <w:rPr>
          <w:rFonts w:ascii="Tahoma" w:eastAsia="Tahoma" w:hAnsi="Tahoma" w:cs="Tahoma"/>
          <w:sz w:val="24"/>
        </w:rPr>
      </w:pPr>
      <w:r>
        <w:rPr>
          <w:rFonts w:ascii="Tahoma" w:eastAsia="Tahoma" w:hAnsi="Tahoma" w:cs="Tahoma"/>
          <w:sz w:val="24"/>
        </w:rPr>
        <w:t>The activation of ion channels forms the basis of Flex Pharma's sc</w:t>
      </w:r>
      <w:r>
        <w:rPr>
          <w:rFonts w:ascii="Tahoma" w:eastAsia="Tahoma" w:hAnsi="Tahoma" w:cs="Tahoma"/>
          <w:sz w:val="24"/>
        </w:rPr>
        <w:t xml:space="preserve">ientific approach and members of the scientific advisory board are leaders in this field.  Flex Pharma Co-founder, Rod MacKinnon, M.D., was awarded the Nobel Prize in 2003 for his work determining the structure of ion channels and showing the mechanism by </w:t>
      </w:r>
      <w:r>
        <w:rPr>
          <w:rFonts w:ascii="Tahoma" w:eastAsia="Tahoma" w:hAnsi="Tahoma" w:cs="Tahoma"/>
          <w:sz w:val="24"/>
        </w:rPr>
        <w:t>which they select for particular ions (Doyle, et al., The Structure of the Potassium Channel: Molecular Basis of K+ Conduction and Selectivity, April 1998, Science).</w:t>
      </w:r>
    </w:p>
    <w:p w:rsidR="0006683C" w:rsidRDefault="0006683C">
      <w:pPr>
        <w:spacing w:line="288" w:lineRule="auto"/>
        <w:rPr>
          <w:rFonts w:ascii="Tahoma" w:eastAsia="Tahoma" w:hAnsi="Tahoma" w:cs="Tahoma"/>
          <w:sz w:val="24"/>
        </w:rPr>
      </w:pPr>
    </w:p>
    <w:p w:rsidR="0006683C" w:rsidRDefault="002A259E">
      <w:pPr>
        <w:spacing w:line="288" w:lineRule="auto"/>
        <w:rPr>
          <w:rFonts w:ascii="Tahoma" w:eastAsia="Tahoma" w:hAnsi="Tahoma" w:cs="Tahoma"/>
          <w:sz w:val="24"/>
        </w:rPr>
      </w:pPr>
      <w:r>
        <w:rPr>
          <w:rFonts w:ascii="Tahoma" w:eastAsia="Tahoma" w:hAnsi="Tahoma" w:cs="Tahoma"/>
          <w:sz w:val="24"/>
        </w:rPr>
        <w:t>David Julius, Ph.D., a member of the Flex Pharma Scientific Advisory Board, Professor and</w:t>
      </w:r>
      <w:r>
        <w:rPr>
          <w:rFonts w:ascii="Tahoma" w:eastAsia="Tahoma" w:hAnsi="Tahoma" w:cs="Tahoma"/>
          <w:sz w:val="24"/>
        </w:rPr>
        <w:t xml:space="preserve"> Chair, Department of Physiology, University of California, San Francisco and member of the National Academy of Sciences and the Institute of Medicine, first described the transient receptor potential (TRP) vanilloid-1, or TRPV1, receptor and illustrated t</w:t>
      </w:r>
      <w:r>
        <w:rPr>
          <w:rFonts w:ascii="Tahoma" w:eastAsia="Tahoma" w:hAnsi="Tahoma" w:cs="Tahoma"/>
          <w:sz w:val="24"/>
        </w:rPr>
        <w:t xml:space="preserve">he importance this ion channel played in diverse physiological functions. (Caterina, et. al., The capsaicin receptor: a heat-activated ion channel in the pain pathway, October 1997, Nature).  Authored by Dr. Julius, Ph.D., the paper entitled “Structure of </w:t>
      </w:r>
      <w:r>
        <w:rPr>
          <w:rFonts w:ascii="Tahoma" w:eastAsia="Tahoma" w:hAnsi="Tahoma" w:cs="Tahoma"/>
          <w:sz w:val="24"/>
        </w:rPr>
        <w:t xml:space="preserve">the TRPA1 ion channel suggests regulatory mechanisms” was recently published in </w:t>
      </w:r>
      <w:r>
        <w:rPr>
          <w:rFonts w:ascii="Tahoma" w:eastAsia="Tahoma" w:hAnsi="Tahoma" w:cs="Tahoma"/>
          <w:i/>
          <w:sz w:val="24"/>
        </w:rPr>
        <w:t>Nature</w:t>
      </w:r>
      <w:r>
        <w:rPr>
          <w:rFonts w:ascii="Tahoma" w:eastAsia="Tahoma" w:hAnsi="Tahoma" w:cs="Tahoma"/>
          <w:sz w:val="24"/>
        </w:rPr>
        <w:t xml:space="preserve"> on April 8, 2015. Dr. Julius has authored several papers in </w:t>
      </w:r>
      <w:r>
        <w:rPr>
          <w:rFonts w:ascii="Tahoma" w:eastAsia="Tahoma" w:hAnsi="Tahoma" w:cs="Tahoma"/>
          <w:i/>
          <w:sz w:val="24"/>
        </w:rPr>
        <w:t>Nature</w:t>
      </w:r>
      <w:r>
        <w:rPr>
          <w:rFonts w:ascii="Tahoma" w:eastAsia="Tahoma" w:hAnsi="Tahoma" w:cs="Tahoma"/>
          <w:sz w:val="24"/>
        </w:rPr>
        <w:t> related to the structure and function of the TRPV1 ion channel. (Dec 5, 2013: TRPV1 structures in dist</w:t>
      </w:r>
      <w:r>
        <w:rPr>
          <w:rFonts w:ascii="Tahoma" w:eastAsia="Tahoma" w:hAnsi="Tahoma" w:cs="Tahoma"/>
          <w:sz w:val="24"/>
        </w:rPr>
        <w:t>inct conformations reveal activation mechanisms)</w:t>
      </w:r>
    </w:p>
    <w:p w:rsidR="0006683C" w:rsidRDefault="0006683C">
      <w:pPr>
        <w:spacing w:line="288" w:lineRule="auto"/>
        <w:rPr>
          <w:rFonts w:ascii="Tahoma" w:eastAsia="Tahoma" w:hAnsi="Tahoma" w:cs="Tahoma"/>
          <w:sz w:val="24"/>
        </w:rPr>
      </w:pPr>
    </w:p>
    <w:p w:rsidR="0006683C" w:rsidRDefault="002A259E">
      <w:pPr>
        <w:spacing w:line="288" w:lineRule="auto"/>
        <w:rPr>
          <w:rFonts w:ascii="Tahoma" w:eastAsia="Tahoma" w:hAnsi="Tahoma" w:cs="Tahoma"/>
          <w:b/>
          <w:sz w:val="24"/>
        </w:rPr>
      </w:pPr>
      <w:r>
        <w:rPr>
          <w:rFonts w:ascii="Tahoma" w:eastAsia="Tahoma" w:hAnsi="Tahoma" w:cs="Tahoma"/>
          <w:b/>
          <w:sz w:val="24"/>
        </w:rPr>
        <w:lastRenderedPageBreak/>
        <w:t>Recent Business Highlights</w:t>
      </w:r>
    </w:p>
    <w:p w:rsidR="0006683C" w:rsidRDefault="0006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pPr>
    </w:p>
    <w:p w:rsidR="0006683C" w:rsidRDefault="002A259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360"/>
      </w:pPr>
      <w:r>
        <w:rPr>
          <w:rFonts w:ascii="Tahoma" w:eastAsia="Tahoma" w:hAnsi="Tahoma" w:cs="Tahoma"/>
          <w:sz w:val="24"/>
        </w:rPr>
        <w:t>Advanced scientific and clinical efforts</w:t>
      </w:r>
    </w:p>
    <w:p w:rsidR="0006683C" w:rsidRDefault="002A259E">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1080"/>
      </w:pPr>
      <w:r>
        <w:rPr>
          <w:rFonts w:ascii="Tahoma" w:eastAsia="Tahoma" w:hAnsi="Tahoma" w:cs="Tahoma"/>
          <w:sz w:val="24"/>
        </w:rPr>
        <w:t>Dr. Bruce Bean, Flex Pharma Scientific Co-founder and Scientific Advisory Board Co-Chair, presented the Company’s human proof-of-concept data in an oral platform presentation at the AAN 67</w:t>
      </w:r>
      <w:r>
        <w:rPr>
          <w:rFonts w:ascii="Tahoma" w:eastAsia="Tahoma" w:hAnsi="Tahoma" w:cs="Tahoma"/>
          <w:sz w:val="24"/>
          <w:vertAlign w:val="superscript"/>
        </w:rPr>
        <w:t>th</w:t>
      </w:r>
      <w:r>
        <w:rPr>
          <w:rFonts w:ascii="Tahoma" w:eastAsia="Tahoma" w:hAnsi="Tahoma" w:cs="Tahoma"/>
          <w:sz w:val="24"/>
        </w:rPr>
        <w:t xml:space="preserve"> Annual Meeting held in Washington, D.C. The abstract, titled “Ora</w:t>
      </w:r>
      <w:r>
        <w:rPr>
          <w:rFonts w:ascii="Tahoma" w:eastAsia="Tahoma" w:hAnsi="Tahoma" w:cs="Tahoma"/>
          <w:sz w:val="24"/>
        </w:rPr>
        <w:t>lly-administered TRPV1 and TRPA1 activators inhibit electrically-induced muscle cramps in normal healthy volunteers,</w:t>
      </w:r>
      <w:r>
        <w:rPr>
          <w:rFonts w:ascii="Tahoma" w:eastAsia="Tahoma" w:hAnsi="Tahoma" w:cs="Tahoma"/>
          <w:b/>
          <w:sz w:val="24"/>
        </w:rPr>
        <w:t xml:space="preserve">” </w:t>
      </w:r>
      <w:r>
        <w:rPr>
          <w:rFonts w:ascii="Tahoma" w:eastAsia="Tahoma" w:hAnsi="Tahoma" w:cs="Tahoma"/>
          <w:sz w:val="24"/>
        </w:rPr>
        <w:t>was presented on Tuesday, April 21, 2015.</w:t>
      </w:r>
    </w:p>
    <w:p w:rsidR="0006683C" w:rsidRDefault="0006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1080"/>
        <w:rPr>
          <w:rFonts w:ascii="Tahoma" w:eastAsia="Tahoma" w:hAnsi="Tahoma" w:cs="Tahoma"/>
          <w:sz w:val="24"/>
        </w:rPr>
      </w:pPr>
    </w:p>
    <w:p w:rsidR="0006683C" w:rsidRDefault="002A259E">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line="288" w:lineRule="auto"/>
        <w:ind w:left="1080"/>
        <w:rPr>
          <w:rFonts w:ascii="Tahoma" w:eastAsia="Tahoma" w:hAnsi="Tahoma" w:cs="Tahoma"/>
          <w:sz w:val="24"/>
        </w:rPr>
      </w:pPr>
      <w:r>
        <w:rPr>
          <w:rFonts w:ascii="Tahoma" w:eastAsia="Tahoma" w:hAnsi="Tahoma" w:cs="Tahoma"/>
          <w:sz w:val="24"/>
        </w:rPr>
        <w:t>The Company recently initiated a human proof-of-concept study in nocturnal leg cramps (NLC) wit</w:t>
      </w:r>
      <w:r>
        <w:rPr>
          <w:rFonts w:ascii="Tahoma" w:eastAsia="Tahoma" w:hAnsi="Tahoma" w:cs="Tahoma"/>
          <w:sz w:val="24"/>
        </w:rPr>
        <w:t>h its proprietary formulation. Nocturnal leg cramps can cause severe pain, interrupted sleep, reduced quality of life and interference with activities of daily living. The randomized, blinded, placebo-controlled, cross-over study is expected to enroll appr</w:t>
      </w:r>
      <w:r>
        <w:rPr>
          <w:rFonts w:ascii="Tahoma" w:eastAsia="Tahoma" w:hAnsi="Tahoma" w:cs="Tahoma"/>
          <w:sz w:val="24"/>
        </w:rPr>
        <w:t>oximately 40 subjects who experience NLC at least four nights per week.</w:t>
      </w:r>
    </w:p>
    <w:p w:rsidR="0006683C" w:rsidRDefault="002A259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360"/>
      </w:pPr>
      <w:r>
        <w:rPr>
          <w:rFonts w:ascii="Tahoma" w:eastAsia="Tahoma" w:hAnsi="Tahoma" w:cs="Tahoma"/>
          <w:sz w:val="24"/>
        </w:rPr>
        <w:t>Consumer Product</w:t>
      </w:r>
    </w:p>
    <w:p w:rsidR="0006683C" w:rsidRDefault="002A259E">
      <w:pPr>
        <w:numPr>
          <w:ilvl w:val="0"/>
          <w:numId w:val="5"/>
        </w:numPr>
        <w:spacing w:line="288" w:lineRule="auto"/>
        <w:ind w:left="1080"/>
        <w:rPr>
          <w:sz w:val="24"/>
        </w:rPr>
      </w:pPr>
      <w:r>
        <w:rPr>
          <w:rFonts w:ascii="Tahoma" w:eastAsia="Tahoma" w:hAnsi="Tahoma" w:cs="Tahoma"/>
          <w:sz w:val="24"/>
        </w:rPr>
        <w:t>Flex Pharma’s proprietary formulation earned certification from NSF International's Certified for Sport® program. NSF's Certified for Sport® program certifies ingredie</w:t>
      </w:r>
      <w:r>
        <w:rPr>
          <w:rFonts w:ascii="Tahoma" w:eastAsia="Tahoma" w:hAnsi="Tahoma" w:cs="Tahoma"/>
          <w:sz w:val="24"/>
        </w:rPr>
        <w:t>nts and tests products to ensure they do not contain contaminants or banned or prohibited substances. The MLB, MLB Player's Association, NFL, NFL Player's Association, PGA, LPGA and the CCES (Canadian Centre for Ethics in Sport) have all chosen NSF's Certi</w:t>
      </w:r>
      <w:r>
        <w:rPr>
          <w:rFonts w:ascii="Tahoma" w:eastAsia="Tahoma" w:hAnsi="Tahoma" w:cs="Tahoma"/>
          <w:sz w:val="24"/>
        </w:rPr>
        <w:t>fied for Sport® program.</w:t>
      </w:r>
    </w:p>
    <w:p w:rsidR="0006683C" w:rsidRDefault="0006683C">
      <w:pPr>
        <w:spacing w:line="288" w:lineRule="auto"/>
        <w:ind w:left="1080"/>
        <w:rPr>
          <w:rFonts w:ascii="Tahoma" w:eastAsia="Tahoma" w:hAnsi="Tahoma" w:cs="Tahoma"/>
          <w:sz w:val="24"/>
        </w:rPr>
      </w:pPr>
    </w:p>
    <w:p w:rsidR="0006683C" w:rsidRDefault="002A259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360"/>
      </w:pPr>
      <w:r>
        <w:rPr>
          <w:rFonts w:ascii="Tahoma" w:eastAsia="Tahoma" w:hAnsi="Tahoma" w:cs="Tahoma"/>
          <w:sz w:val="24"/>
        </w:rPr>
        <w:t>Expanded Directors and Advisors</w:t>
      </w:r>
    </w:p>
    <w:p w:rsidR="0006683C" w:rsidRDefault="002A259E">
      <w:pPr>
        <w:numPr>
          <w:ilvl w:val="0"/>
          <w:numId w:val="7"/>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1080"/>
      </w:pPr>
      <w:r>
        <w:rPr>
          <w:rFonts w:ascii="Tahoma" w:eastAsia="Tahoma" w:hAnsi="Tahoma" w:cs="Tahoma"/>
          <w:sz w:val="24"/>
        </w:rPr>
        <w:t>Jeffrey D. Capello, Chief Financial Officer of Ortho-Clinical Diagnostics, Inc., joined our Board of Directors and serves as Chair of the Audit Committee.</w:t>
      </w:r>
      <w:r>
        <w:t xml:space="preserve">  </w:t>
      </w:r>
      <w:r>
        <w:rPr>
          <w:rFonts w:ascii="Tahoma" w:eastAsia="Tahoma" w:hAnsi="Tahoma" w:cs="Tahoma"/>
          <w:sz w:val="24"/>
        </w:rPr>
        <w:t>Prior to his role at Ortho-Clinical Diagnostics, Mr. Capello served as Chief Financial Officer and Executive Vice President of Boston Scientific (NYSE: BSX) from 2010 to 2013.</w:t>
      </w:r>
    </w:p>
    <w:p w:rsidR="0006683C" w:rsidRDefault="0006683C">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360"/>
      </w:pPr>
    </w:p>
    <w:p w:rsidR="0006683C" w:rsidRDefault="002A259E">
      <w:pPr>
        <w:numPr>
          <w:ilvl w:val="0"/>
          <w:numId w:val="8"/>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1080"/>
        <w:rPr>
          <w:sz w:val="24"/>
        </w:rPr>
      </w:pPr>
      <w:r>
        <w:rPr>
          <w:rFonts w:ascii="Tahoma" w:eastAsia="Tahoma" w:hAnsi="Tahoma" w:cs="Tahoma"/>
          <w:sz w:val="24"/>
        </w:rPr>
        <w:t>John Winkelman, M.D., Ph.D., Chief of the Sleep Disorders Clinical Research Pro</w:t>
      </w:r>
      <w:r>
        <w:rPr>
          <w:rFonts w:ascii="Tahoma" w:eastAsia="Tahoma" w:hAnsi="Tahoma" w:cs="Tahoma"/>
          <w:sz w:val="24"/>
        </w:rPr>
        <w:t>gram at Massachusetts General Hospital, joined our Scientific Advisory Board.  John Winkelman, M.D., Ph.D. is an Associate Professor of Psychiatry at Harvard Medical School. Prior to MGH, he served for 17 years as Medical Director of the Sleep Health Cente</w:t>
      </w:r>
      <w:r>
        <w:rPr>
          <w:rFonts w:ascii="Tahoma" w:eastAsia="Tahoma" w:hAnsi="Tahoma" w:cs="Tahoma"/>
          <w:sz w:val="24"/>
        </w:rPr>
        <w:t xml:space="preserve">r of Brigham and Women's Hospital in Boston, Massachusetts. Dr. Winkelman’s clinical work, teaching, and research focuses on the epidemiology, neurobiology, and clinical consequences of primary sleep disorders.  His clinical research has included clinical </w:t>
      </w:r>
      <w:r>
        <w:rPr>
          <w:rFonts w:ascii="Tahoma" w:eastAsia="Tahoma" w:hAnsi="Tahoma" w:cs="Tahoma"/>
          <w:sz w:val="24"/>
        </w:rPr>
        <w:t xml:space="preserve">trials in </w:t>
      </w:r>
      <w:r>
        <w:rPr>
          <w:rFonts w:ascii="Tahoma" w:eastAsia="Tahoma" w:hAnsi="Tahoma" w:cs="Tahoma"/>
          <w:sz w:val="24"/>
        </w:rPr>
        <w:lastRenderedPageBreak/>
        <w:t>sleep-related movement disorders, particularly extensive involvement in the development of approved agents for restless legs syndrome.</w:t>
      </w:r>
    </w:p>
    <w:p w:rsidR="0006683C" w:rsidRDefault="0006683C">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1080"/>
      </w:pPr>
    </w:p>
    <w:p w:rsidR="0006683C" w:rsidRDefault="002A259E">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360"/>
        <w:rPr>
          <w:rFonts w:ascii="Tahoma" w:eastAsia="Tahoma" w:hAnsi="Tahoma" w:cs="Tahoma"/>
          <w:sz w:val="24"/>
        </w:rPr>
      </w:pPr>
      <w:r>
        <w:rPr>
          <w:rFonts w:ascii="Tahoma" w:eastAsia="Tahoma" w:hAnsi="Tahoma" w:cs="Tahoma"/>
          <w:sz w:val="24"/>
        </w:rPr>
        <w:t>Corporate</w:t>
      </w:r>
    </w:p>
    <w:p w:rsidR="0006683C" w:rsidRDefault="002A259E">
      <w:pPr>
        <w:numPr>
          <w:ilvl w:val="0"/>
          <w:numId w:val="11"/>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1080"/>
        <w:rPr>
          <w:sz w:val="24"/>
        </w:rPr>
      </w:pPr>
      <w:r>
        <w:rPr>
          <w:rFonts w:ascii="Tahoma" w:eastAsia="Tahoma" w:hAnsi="Tahoma" w:cs="Tahoma"/>
          <w:sz w:val="24"/>
        </w:rPr>
        <w:t>In the first quarter of 2015, the Company raised $87.9 million in gross proceeds and $79.9 million in net proceeds from the sale of 5,491,191 shares of common stock in an initial public offering.</w:t>
      </w:r>
    </w:p>
    <w:p w:rsidR="0006683C" w:rsidRDefault="000668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360"/>
        <w:rPr>
          <w:rFonts w:ascii="Tahoma" w:eastAsia="Tahoma" w:hAnsi="Tahoma" w:cs="Tahoma"/>
          <w:sz w:val="24"/>
        </w:rPr>
      </w:pPr>
    </w:p>
    <w:p w:rsidR="0006683C" w:rsidRDefault="002A259E">
      <w:pPr>
        <w:numPr>
          <w:ilvl w:val="0"/>
          <w:numId w:val="12"/>
        </w:num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88" w:lineRule="auto"/>
        <w:ind w:left="1080"/>
        <w:rPr>
          <w:sz w:val="24"/>
        </w:rPr>
      </w:pPr>
      <w:r>
        <w:rPr>
          <w:rFonts w:ascii="Tahoma" w:eastAsia="Tahoma" w:hAnsi="Tahoma" w:cs="Tahoma"/>
          <w:sz w:val="24"/>
        </w:rPr>
        <w:t>On April 1, 2015, Flex Pharma, Inc. (FLKS) was added to the</w:t>
      </w:r>
      <w:r>
        <w:rPr>
          <w:rFonts w:ascii="Tahoma" w:eastAsia="Tahoma" w:hAnsi="Tahoma" w:cs="Tahoma"/>
          <w:sz w:val="24"/>
        </w:rPr>
        <w:t xml:space="preserve"> Russell 3000, Russell 2000, and Russell Microcap Indices as part of Russell Investments' first quarter 2015 IPO additions.</w:t>
      </w:r>
    </w:p>
    <w:p w:rsidR="0006683C" w:rsidRDefault="0006683C">
      <w:pPr>
        <w:spacing w:line="288" w:lineRule="auto"/>
        <w:ind w:hanging="720"/>
      </w:pPr>
    </w:p>
    <w:p w:rsidR="0006683C" w:rsidRDefault="0006683C">
      <w:pPr>
        <w:sectPr w:rsidR="000668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160" w:footer="1240" w:gutter="0"/>
          <w:pgNumType w:chapSep="period"/>
          <w:cols w:space="720"/>
          <w:titlePg/>
        </w:sectPr>
      </w:pPr>
    </w:p>
    <w:p w:rsidR="0006683C" w:rsidRDefault="002A259E">
      <w:pPr>
        <w:spacing w:line="288" w:lineRule="auto"/>
        <w:rPr>
          <w:rFonts w:ascii="Tahoma" w:eastAsia="Tahoma" w:hAnsi="Tahoma" w:cs="Tahoma"/>
          <w:b/>
          <w:sz w:val="24"/>
        </w:rPr>
      </w:pPr>
      <w:r>
        <w:rPr>
          <w:rFonts w:ascii="Tahoma" w:eastAsia="Tahoma" w:hAnsi="Tahoma" w:cs="Tahoma"/>
          <w:b/>
          <w:sz w:val="24"/>
        </w:rPr>
        <w:lastRenderedPageBreak/>
        <w:t>First Quarter 2015 Financial Results</w:t>
      </w:r>
      <w:bookmarkStart w:id="2" w:name="Financial_Results"/>
      <w:bookmarkEnd w:id="2"/>
    </w:p>
    <w:p w:rsidR="0006683C" w:rsidRDefault="0006683C">
      <w:pPr>
        <w:spacing w:line="288" w:lineRule="auto"/>
      </w:pPr>
    </w:p>
    <w:p w:rsidR="0006683C" w:rsidRDefault="002A259E">
      <w:pPr>
        <w:numPr>
          <w:ilvl w:val="0"/>
          <w:numId w:val="2"/>
        </w:numPr>
        <w:spacing w:line="288" w:lineRule="auto"/>
        <w:ind w:left="360"/>
      </w:pPr>
      <w:r>
        <w:rPr>
          <w:rFonts w:ascii="Tahoma" w:eastAsia="Tahoma" w:hAnsi="Tahoma" w:cs="Tahoma"/>
          <w:b/>
          <w:color w:val="262626"/>
          <w:sz w:val="24"/>
        </w:rPr>
        <w:t>Cash Position:</w:t>
      </w:r>
      <w:r>
        <w:rPr>
          <w:rFonts w:ascii="Tahoma" w:eastAsia="Tahoma" w:hAnsi="Tahoma" w:cs="Tahoma"/>
          <w:color w:val="262626"/>
          <w:sz w:val="24"/>
        </w:rPr>
        <w:t xml:space="preserve"> </w:t>
      </w:r>
      <w:r>
        <w:rPr>
          <w:rFonts w:ascii="Tahoma" w:eastAsia="Tahoma" w:hAnsi="Tahoma" w:cs="Tahoma"/>
          <w:sz w:val="24"/>
        </w:rPr>
        <w:t>As of March 31, 2015, Flex Pharma had cash of $110.5 million. Based on its current cash position, Flex Pharma expects to have sufficient capital to fund its operations until the middle of 2018.</w:t>
      </w:r>
    </w:p>
    <w:p w:rsidR="0006683C" w:rsidRDefault="0006683C">
      <w:pPr>
        <w:spacing w:line="288" w:lineRule="auto"/>
      </w:pPr>
    </w:p>
    <w:p w:rsidR="0006683C" w:rsidRDefault="002A259E">
      <w:pPr>
        <w:numPr>
          <w:ilvl w:val="0"/>
          <w:numId w:val="3"/>
        </w:numPr>
        <w:spacing w:line="288" w:lineRule="auto"/>
        <w:ind w:left="360"/>
      </w:pPr>
      <w:r>
        <w:rPr>
          <w:rFonts w:ascii="Tahoma" w:eastAsia="Tahoma" w:hAnsi="Tahoma" w:cs="Tahoma"/>
          <w:b/>
          <w:sz w:val="24"/>
        </w:rPr>
        <w:t>R&amp;D Expense:</w:t>
      </w:r>
      <w:r>
        <w:rPr>
          <w:rFonts w:ascii="Tahoma" w:eastAsia="Tahoma" w:hAnsi="Tahoma" w:cs="Tahoma"/>
          <w:sz w:val="24"/>
        </w:rPr>
        <w:t xml:space="preserve"> Research and development expense </w:t>
      </w:r>
      <w:r>
        <w:rPr>
          <w:rFonts w:ascii="Tahoma" w:eastAsia="Tahoma" w:hAnsi="Tahoma" w:cs="Tahoma"/>
          <w:sz w:val="24"/>
        </w:rPr>
        <w:t>for the three months ended March 31, 2015 was $2.8 million. Research and development expense for the first quarter of 2015 primarily included costs associated with the Company’s clinical studies and research of its proprietary treatment, personnel costs (i</w:t>
      </w:r>
      <w:r>
        <w:rPr>
          <w:rFonts w:ascii="Tahoma" w:eastAsia="Tahoma" w:hAnsi="Tahoma" w:cs="Tahoma"/>
          <w:sz w:val="24"/>
        </w:rPr>
        <w:t>ncluding salaries as well as stock-based compensation costs), and external consultant costs.   Costs incurred in the three months ended March 31, 2014 were not significant as the Company was establishing operations during this time.</w:t>
      </w:r>
    </w:p>
    <w:p w:rsidR="0006683C" w:rsidRDefault="0006683C">
      <w:pPr>
        <w:spacing w:line="288" w:lineRule="auto"/>
        <w:ind w:left="360"/>
      </w:pPr>
    </w:p>
    <w:p w:rsidR="0006683C" w:rsidRDefault="002A259E">
      <w:pPr>
        <w:numPr>
          <w:ilvl w:val="0"/>
          <w:numId w:val="4"/>
        </w:numPr>
        <w:spacing w:line="288" w:lineRule="auto"/>
        <w:ind w:left="360"/>
      </w:pPr>
      <w:r>
        <w:rPr>
          <w:rFonts w:ascii="Tahoma" w:eastAsia="Tahoma" w:hAnsi="Tahoma" w:cs="Tahoma"/>
          <w:b/>
          <w:sz w:val="24"/>
        </w:rPr>
        <w:t>G&amp;A Expense</w:t>
      </w:r>
      <w:r>
        <w:rPr>
          <w:rFonts w:ascii="Tahoma" w:eastAsia="Tahoma" w:hAnsi="Tahoma" w:cs="Tahoma"/>
          <w:sz w:val="24"/>
        </w:rPr>
        <w:t>: General a</w:t>
      </w:r>
      <w:r>
        <w:rPr>
          <w:rFonts w:ascii="Tahoma" w:eastAsia="Tahoma" w:hAnsi="Tahoma" w:cs="Tahoma"/>
          <w:sz w:val="24"/>
        </w:rPr>
        <w:t>nd administrative expense for the three months ended March 31, 2015 was $3.2 million. General and administrative expense for this period primarily included personnel costs, including salaries and stock-based compensation, costs related to developing the Co</w:t>
      </w:r>
      <w:r>
        <w:rPr>
          <w:rFonts w:ascii="Tahoma" w:eastAsia="Tahoma" w:hAnsi="Tahoma" w:cs="Tahoma"/>
          <w:sz w:val="24"/>
        </w:rPr>
        <w:t>mpany’s consumer brand and cornerstone product, legal and accounting costs, and external consultant costs.</w:t>
      </w:r>
    </w:p>
    <w:p w:rsidR="0006683C" w:rsidRDefault="0006683C">
      <w:pPr>
        <w:spacing w:line="288" w:lineRule="auto"/>
      </w:pPr>
    </w:p>
    <w:p w:rsidR="0006683C" w:rsidRDefault="002A259E">
      <w:pPr>
        <w:numPr>
          <w:ilvl w:val="0"/>
          <w:numId w:val="4"/>
        </w:numPr>
        <w:spacing w:line="288" w:lineRule="auto"/>
        <w:ind w:left="360"/>
      </w:pPr>
      <w:r>
        <w:rPr>
          <w:rFonts w:ascii="Tahoma" w:eastAsia="Tahoma" w:hAnsi="Tahoma" w:cs="Tahoma"/>
          <w:b/>
          <w:sz w:val="24"/>
        </w:rPr>
        <w:t>Net Loss:</w:t>
      </w:r>
      <w:r>
        <w:rPr>
          <w:rFonts w:ascii="Tahoma" w:eastAsia="Tahoma" w:hAnsi="Tahoma" w:cs="Tahoma"/>
          <w:sz w:val="24"/>
        </w:rPr>
        <w:t xml:space="preserve"> Net loss for the three months ended March 31, 2015 was ($6.0) million, or ($0.59) per share. Included in the loss for the quarter was $1.7</w:t>
      </w:r>
      <w:r>
        <w:rPr>
          <w:rFonts w:ascii="Tahoma" w:eastAsia="Tahoma" w:hAnsi="Tahoma" w:cs="Tahoma"/>
          <w:sz w:val="24"/>
        </w:rPr>
        <w:t xml:space="preserve"> million of stock-based compensation expense. The net loss for the first quarter of 2015 was primarily driven by the Company’s operating expenses related to its research and development efforts, costs associated with the development of the Company’s consum</w:t>
      </w:r>
      <w:r>
        <w:rPr>
          <w:rFonts w:ascii="Tahoma" w:eastAsia="Tahoma" w:hAnsi="Tahoma" w:cs="Tahoma"/>
          <w:sz w:val="24"/>
        </w:rPr>
        <w:t>er brand and cornerstone product, and general and administrative costs.</w:t>
      </w:r>
    </w:p>
    <w:p w:rsidR="0006683C" w:rsidRDefault="0006683C">
      <w:pPr>
        <w:spacing w:line="288" w:lineRule="auto"/>
        <w:rPr>
          <w:rFonts w:ascii="Tahoma" w:eastAsia="Tahoma" w:hAnsi="Tahoma" w:cs="Tahoma"/>
          <w:sz w:val="24"/>
        </w:rPr>
      </w:pPr>
    </w:p>
    <w:p w:rsidR="0006683C" w:rsidRDefault="0006683C">
      <w:pPr>
        <w:spacing w:line="288" w:lineRule="auto"/>
      </w:pPr>
    </w:p>
    <w:p w:rsidR="0006683C" w:rsidRDefault="0006683C">
      <w:pPr>
        <w:sectPr w:rsidR="0006683C">
          <w:headerReference w:type="even" r:id="rId15"/>
          <w:headerReference w:type="default" r:id="rId16"/>
          <w:footerReference w:type="even" r:id="rId17"/>
          <w:footerReference w:type="default" r:id="rId18"/>
          <w:type w:val="continuous"/>
          <w:pgSz w:w="12240" w:h="15840"/>
          <w:pgMar w:top="1440" w:right="1800" w:bottom="1440" w:left="1800" w:header="160" w:footer="1240" w:gutter="0"/>
          <w:pgNumType w:chapSep="period"/>
          <w:cols w:space="720"/>
        </w:sectPr>
      </w:pPr>
    </w:p>
    <w:p w:rsidR="0006683C" w:rsidRDefault="002A259E">
      <w:pPr>
        <w:spacing w:line="346" w:lineRule="auto"/>
        <w:rPr>
          <w:rFonts w:ascii="Tahoma" w:eastAsia="Tahoma" w:hAnsi="Tahoma" w:cs="Tahoma"/>
          <w:b/>
          <w:sz w:val="24"/>
        </w:rPr>
      </w:pPr>
      <w:r>
        <w:rPr>
          <w:rFonts w:ascii="Tahoma" w:eastAsia="Tahoma" w:hAnsi="Tahoma" w:cs="Tahoma"/>
          <w:b/>
          <w:sz w:val="24"/>
        </w:rPr>
        <w:lastRenderedPageBreak/>
        <w:t>Upcoming Events and Presentations</w:t>
      </w:r>
      <w:bookmarkStart w:id="3" w:name="Upcoming_EventsWebcast_Info"/>
      <w:bookmarkEnd w:id="3"/>
    </w:p>
    <w:p w:rsidR="0006683C" w:rsidRDefault="0006683C">
      <w:pPr>
        <w:spacing w:line="288" w:lineRule="auto"/>
      </w:pPr>
    </w:p>
    <w:p w:rsidR="0006683C" w:rsidRDefault="002A259E">
      <w:pPr>
        <w:numPr>
          <w:ilvl w:val="0"/>
          <w:numId w:val="6"/>
        </w:numPr>
        <w:spacing w:line="288" w:lineRule="auto"/>
        <w:ind w:left="360"/>
      </w:pPr>
      <w:r>
        <w:rPr>
          <w:rFonts w:ascii="Tahoma" w:eastAsia="Tahoma" w:hAnsi="Tahoma" w:cs="Tahoma"/>
          <w:sz w:val="24"/>
        </w:rPr>
        <w:t>Jefferies Healthcare Conference, June 1-4, 2015 in New York, NY</w:t>
      </w:r>
    </w:p>
    <w:p w:rsidR="0006683C" w:rsidRDefault="002A259E">
      <w:pPr>
        <w:numPr>
          <w:ilvl w:val="0"/>
          <w:numId w:val="6"/>
        </w:numPr>
        <w:spacing w:line="288" w:lineRule="auto"/>
        <w:ind w:left="360"/>
      </w:pPr>
      <w:r>
        <w:rPr>
          <w:rFonts w:ascii="Tahoma" w:eastAsia="Tahoma" w:hAnsi="Tahoma" w:cs="Tahoma"/>
          <w:sz w:val="24"/>
        </w:rPr>
        <w:lastRenderedPageBreak/>
        <w:t>Piper Jaffray Consumer Conference, June 9-10, 2015 in New York, NY</w:t>
      </w:r>
    </w:p>
    <w:p w:rsidR="0006683C" w:rsidRDefault="002A259E">
      <w:pPr>
        <w:numPr>
          <w:ilvl w:val="0"/>
          <w:numId w:val="6"/>
        </w:numPr>
        <w:spacing w:line="288" w:lineRule="auto"/>
        <w:ind w:left="360"/>
      </w:pPr>
      <w:r>
        <w:rPr>
          <w:rFonts w:ascii="Tahoma" w:eastAsia="Tahoma" w:hAnsi="Tahoma" w:cs="Tahoma"/>
          <w:sz w:val="24"/>
        </w:rPr>
        <w:t>Jef</w:t>
      </w:r>
      <w:r>
        <w:rPr>
          <w:rFonts w:ascii="Tahoma" w:eastAsia="Tahoma" w:hAnsi="Tahoma" w:cs="Tahoma"/>
          <w:sz w:val="24"/>
        </w:rPr>
        <w:t>feries Consumer Conference, June 23-24, 2015 in Nantucket, MA</w:t>
      </w:r>
    </w:p>
    <w:p w:rsidR="0006683C" w:rsidRDefault="002A259E">
      <w:pPr>
        <w:numPr>
          <w:ilvl w:val="0"/>
          <w:numId w:val="6"/>
        </w:numPr>
        <w:spacing w:line="288" w:lineRule="auto"/>
        <w:ind w:left="360"/>
      </w:pPr>
      <w:r>
        <w:rPr>
          <w:rFonts w:ascii="Tahoma" w:eastAsia="Tahoma" w:hAnsi="Tahoma" w:cs="Tahoma"/>
          <w:sz w:val="24"/>
        </w:rPr>
        <w:t>JMP Securities Healthcare Conference, June 23-24, 2015 in New York, NY</w:t>
      </w:r>
    </w:p>
    <w:p w:rsidR="0006683C" w:rsidRDefault="002A259E">
      <w:pPr>
        <w:numPr>
          <w:ilvl w:val="0"/>
          <w:numId w:val="6"/>
        </w:numPr>
        <w:spacing w:line="288" w:lineRule="auto"/>
        <w:ind w:left="360"/>
      </w:pPr>
      <w:r>
        <w:rPr>
          <w:rFonts w:ascii="Tahoma" w:eastAsia="Tahoma" w:hAnsi="Tahoma" w:cs="Tahoma"/>
          <w:sz w:val="24"/>
        </w:rPr>
        <w:t>Cantor Fitzgerald Healthcare Conference, July 8, 2015 in New York, NY</w:t>
      </w:r>
    </w:p>
    <w:p w:rsidR="0006683C" w:rsidRDefault="0006683C">
      <w:pPr>
        <w:spacing w:line="346" w:lineRule="auto"/>
        <w:rPr>
          <w:rFonts w:ascii="Tahoma" w:eastAsia="Tahoma" w:hAnsi="Tahoma" w:cs="Tahoma"/>
          <w:sz w:val="24"/>
        </w:rPr>
      </w:pPr>
    </w:p>
    <w:p w:rsidR="0006683C" w:rsidRDefault="002A259E">
      <w:pPr>
        <w:spacing w:after="240" w:line="288" w:lineRule="auto"/>
        <w:rPr>
          <w:rFonts w:ascii="Tahoma" w:eastAsia="Tahoma" w:hAnsi="Tahoma" w:cs="Tahoma"/>
          <w:b/>
          <w:sz w:val="24"/>
        </w:rPr>
      </w:pPr>
      <w:r>
        <w:rPr>
          <w:rFonts w:ascii="Tahoma" w:eastAsia="Tahoma" w:hAnsi="Tahoma" w:cs="Tahoma"/>
          <w:b/>
          <w:sz w:val="24"/>
        </w:rPr>
        <w:t>Conference Call and Webcast</w:t>
      </w:r>
    </w:p>
    <w:p w:rsidR="0006683C" w:rsidRDefault="002A259E">
      <w:pPr>
        <w:spacing w:after="240" w:line="288" w:lineRule="auto"/>
        <w:rPr>
          <w:rFonts w:ascii="Tahoma" w:eastAsia="Tahoma" w:hAnsi="Tahoma" w:cs="Tahoma"/>
          <w:sz w:val="24"/>
        </w:rPr>
      </w:pPr>
      <w:r>
        <w:rPr>
          <w:rFonts w:ascii="Tahoma" w:eastAsia="Tahoma" w:hAnsi="Tahoma" w:cs="Tahoma"/>
          <w:sz w:val="24"/>
        </w:rPr>
        <w:t xml:space="preserve">The company will host a conference call and webcast today at 9:00 a.m. ET to provide an update on the company and discuss first quarter 2015 financial results.  To access the conference call, please dial </w:t>
      </w:r>
      <w:r>
        <w:rPr>
          <w:rFonts w:ascii="Tahoma" w:eastAsia="Tahoma" w:hAnsi="Tahoma" w:cs="Tahoma"/>
          <w:color w:val="262626"/>
          <w:sz w:val="24"/>
        </w:rPr>
        <w:t>(855) 780-7202</w:t>
      </w:r>
      <w:r>
        <w:rPr>
          <w:rFonts w:ascii="Tahoma" w:eastAsia="Tahoma" w:hAnsi="Tahoma" w:cs="Tahoma"/>
          <w:sz w:val="24"/>
        </w:rPr>
        <w:t xml:space="preserve"> (U.S. and Canada) or </w:t>
      </w:r>
      <w:r>
        <w:rPr>
          <w:rFonts w:ascii="Tahoma" w:eastAsia="Tahoma" w:hAnsi="Tahoma" w:cs="Tahoma"/>
          <w:color w:val="262626"/>
          <w:sz w:val="24"/>
        </w:rPr>
        <w:t>(631) 485-4874</w:t>
      </w:r>
      <w:r>
        <w:rPr>
          <w:rFonts w:ascii="Tahoma" w:eastAsia="Tahoma" w:hAnsi="Tahoma" w:cs="Tahoma"/>
          <w:sz w:val="24"/>
        </w:rPr>
        <w:t xml:space="preserve"> (</w:t>
      </w:r>
      <w:r>
        <w:rPr>
          <w:rFonts w:ascii="Tahoma" w:eastAsia="Tahoma" w:hAnsi="Tahoma" w:cs="Tahoma"/>
          <w:sz w:val="24"/>
        </w:rPr>
        <w:t>International) five minutes prior to the start time.</w:t>
      </w:r>
    </w:p>
    <w:p w:rsidR="0006683C" w:rsidRDefault="002A259E">
      <w:pPr>
        <w:spacing w:line="288" w:lineRule="auto"/>
        <w:rPr>
          <w:rFonts w:ascii="Tahoma" w:eastAsia="Tahoma" w:hAnsi="Tahoma" w:cs="Tahoma"/>
          <w:sz w:val="24"/>
        </w:rPr>
      </w:pPr>
      <w:r>
        <w:rPr>
          <w:rFonts w:ascii="Tahoma" w:eastAsia="Tahoma" w:hAnsi="Tahoma" w:cs="Tahoma"/>
          <w:sz w:val="24"/>
        </w:rPr>
        <w:t xml:space="preserve">A live webcast may be accessed in the Investors section of the company’s website at </w:t>
      </w:r>
      <w:r>
        <w:rPr>
          <w:rFonts w:ascii="Tahoma" w:eastAsia="Tahoma" w:hAnsi="Tahoma" w:cs="Tahoma"/>
          <w:color w:val="0000FF"/>
          <w:sz w:val="24"/>
          <w:u w:val="single" w:color="0000FF"/>
        </w:rPr>
        <w:t>www.flex-pharma.com</w:t>
      </w:r>
      <w:r>
        <w:rPr>
          <w:rFonts w:ascii="Tahoma" w:eastAsia="Tahoma" w:hAnsi="Tahoma" w:cs="Tahoma"/>
          <w:sz w:val="24"/>
        </w:rPr>
        <w:t>. Please log on to the Flex Pharma website approximately 15 minutes prior to the scheduled webcast t</w:t>
      </w:r>
      <w:r>
        <w:rPr>
          <w:rFonts w:ascii="Tahoma" w:eastAsia="Tahoma" w:hAnsi="Tahoma" w:cs="Tahoma"/>
          <w:sz w:val="24"/>
        </w:rPr>
        <w:t>o ensure adequate time for any software downloads that may be required.  A replay of the webcast will be available on Flex Pharma’s website for three months.</w:t>
      </w:r>
    </w:p>
    <w:p w:rsidR="0006683C" w:rsidRDefault="0006683C">
      <w:pPr>
        <w:spacing w:line="288" w:lineRule="auto"/>
      </w:pPr>
    </w:p>
    <w:p w:rsidR="0006683C" w:rsidRDefault="0006683C">
      <w:pPr>
        <w:sectPr w:rsidR="0006683C">
          <w:headerReference w:type="even" r:id="rId19"/>
          <w:headerReference w:type="default" r:id="rId20"/>
          <w:footerReference w:type="even" r:id="rId21"/>
          <w:footerReference w:type="default" r:id="rId22"/>
          <w:type w:val="continuous"/>
          <w:pgSz w:w="12240" w:h="15840"/>
          <w:pgMar w:top="1440" w:right="1800" w:bottom="1440" w:left="1800" w:header="160" w:footer="1240" w:gutter="0"/>
          <w:pgNumType w:chapSep="period"/>
          <w:cols w:space="720"/>
        </w:sectPr>
      </w:pPr>
    </w:p>
    <w:p w:rsidR="0006683C" w:rsidRDefault="002A259E">
      <w:pPr>
        <w:spacing w:after="240" w:line="288" w:lineRule="auto"/>
        <w:rPr>
          <w:rFonts w:ascii="Tahoma" w:eastAsia="Tahoma" w:hAnsi="Tahoma" w:cs="Tahoma"/>
          <w:b/>
          <w:sz w:val="24"/>
        </w:rPr>
      </w:pPr>
      <w:r>
        <w:rPr>
          <w:rFonts w:ascii="Tahoma" w:eastAsia="Tahoma" w:hAnsi="Tahoma" w:cs="Tahoma"/>
          <w:b/>
          <w:sz w:val="24"/>
        </w:rPr>
        <w:lastRenderedPageBreak/>
        <w:t>About Flex Pharma</w:t>
      </w:r>
      <w:bookmarkStart w:id="4" w:name="About_FlexForward_Looking_Statements"/>
      <w:bookmarkEnd w:id="4"/>
    </w:p>
    <w:p w:rsidR="0006683C" w:rsidRDefault="002A259E">
      <w:pPr>
        <w:spacing w:line="288" w:lineRule="auto"/>
        <w:rPr>
          <w:rFonts w:ascii="Tahoma" w:eastAsia="Tahoma" w:hAnsi="Tahoma" w:cs="Tahoma"/>
          <w:sz w:val="24"/>
        </w:rPr>
      </w:pPr>
      <w:r>
        <w:rPr>
          <w:rFonts w:ascii="Tahoma" w:eastAsia="Tahoma" w:hAnsi="Tahoma" w:cs="Tahoma"/>
          <w:sz w:val="24"/>
        </w:rPr>
        <w:t>Flex Pharma, Inc. is a biotechnology company that is developing in</w:t>
      </w:r>
      <w:r>
        <w:rPr>
          <w:rFonts w:ascii="Tahoma" w:eastAsia="Tahoma" w:hAnsi="Tahoma" w:cs="Tahoma"/>
          <w:sz w:val="24"/>
        </w:rPr>
        <w:t>novative and proprietary treatments for exercise-associated muscle cramps, nocturnal leg cramps, and spasms associated with severe neuromuscular conditions. In three randomized, blinded, placebo-controlled, cross-over studies, Flex Pharma's proprietary tre</w:t>
      </w:r>
      <w:r>
        <w:rPr>
          <w:rFonts w:ascii="Tahoma" w:eastAsia="Tahoma" w:hAnsi="Tahoma" w:cs="Tahoma"/>
          <w:sz w:val="24"/>
        </w:rPr>
        <w:t>atment has shown a statistically significant reduction in the intensity of muscle cramps in healthy normal volunteers.</w:t>
      </w:r>
    </w:p>
    <w:p w:rsidR="0006683C" w:rsidRDefault="0006683C">
      <w:pPr>
        <w:spacing w:line="288" w:lineRule="auto"/>
      </w:pPr>
    </w:p>
    <w:p w:rsidR="0006683C" w:rsidRDefault="002A259E">
      <w:pPr>
        <w:spacing w:line="288" w:lineRule="auto"/>
        <w:rPr>
          <w:rFonts w:ascii="Tahoma" w:eastAsia="Tahoma" w:hAnsi="Tahoma" w:cs="Tahoma"/>
          <w:sz w:val="24"/>
        </w:rPr>
      </w:pPr>
      <w:r>
        <w:rPr>
          <w:rFonts w:ascii="Tahoma" w:eastAsia="Tahoma" w:hAnsi="Tahoma" w:cs="Tahoma"/>
          <w:sz w:val="24"/>
        </w:rPr>
        <w:t>Flex Pharma was founded by National Academy of Science members Rod MacKinnon, M.D. (2003 Nobel Laureate), and Bruce Bean, Ph.D., recogni</w:t>
      </w:r>
      <w:r>
        <w:rPr>
          <w:rFonts w:ascii="Tahoma" w:eastAsia="Tahoma" w:hAnsi="Tahoma" w:cs="Tahoma"/>
          <w:sz w:val="24"/>
        </w:rPr>
        <w:t>zed leaders in the fields of ion channels and neurobiology, along with Chairman and Chief Executive Officer Christoph Westphal, M.D., Ph.D.</w:t>
      </w:r>
    </w:p>
    <w:p w:rsidR="0006683C" w:rsidRDefault="0006683C">
      <w:pPr>
        <w:spacing w:line="346" w:lineRule="auto"/>
        <w:rPr>
          <w:rFonts w:ascii="Tahoma" w:eastAsia="Tahoma" w:hAnsi="Tahoma" w:cs="Tahoma"/>
          <w:sz w:val="24"/>
        </w:rPr>
      </w:pPr>
    </w:p>
    <w:p w:rsidR="0006683C" w:rsidRDefault="002A259E">
      <w:pPr>
        <w:spacing w:after="240" w:line="288" w:lineRule="auto"/>
        <w:rPr>
          <w:rFonts w:ascii="Tahoma" w:eastAsia="Tahoma" w:hAnsi="Tahoma" w:cs="Tahoma"/>
          <w:b/>
          <w:sz w:val="24"/>
        </w:rPr>
      </w:pPr>
      <w:r>
        <w:rPr>
          <w:rFonts w:ascii="Tahoma" w:eastAsia="Tahoma" w:hAnsi="Tahoma" w:cs="Tahoma"/>
          <w:b/>
          <w:sz w:val="24"/>
        </w:rPr>
        <w:t>Forward-Looking Statements</w:t>
      </w:r>
    </w:p>
    <w:p w:rsidR="0006683C" w:rsidRDefault="002A259E">
      <w:pPr>
        <w:spacing w:line="288" w:lineRule="auto"/>
        <w:rPr>
          <w:rFonts w:ascii="Tahoma" w:eastAsia="Tahoma" w:hAnsi="Tahoma" w:cs="Tahoma"/>
          <w:sz w:val="24"/>
        </w:rPr>
      </w:pPr>
      <w:r>
        <w:rPr>
          <w:rFonts w:ascii="Tahoma" w:eastAsia="Tahoma" w:hAnsi="Tahoma" w:cs="Tahoma"/>
          <w:sz w:val="24"/>
        </w:rPr>
        <w:t>This press release contains forward-looking statements for purposes of the safe harbor p</w:t>
      </w:r>
      <w:r>
        <w:rPr>
          <w:rFonts w:ascii="Tahoma" w:eastAsia="Tahoma" w:hAnsi="Tahoma" w:cs="Tahoma"/>
          <w:sz w:val="24"/>
        </w:rPr>
        <w:t>rovisions of the Private Securities Litigation Reform Act of 1995. Forward-looking statements include statements regarding our intentions, beliefs, projections, outlook, analyses or current expectations concerning, among other things: the design and timing</w:t>
      </w:r>
      <w:r>
        <w:rPr>
          <w:rFonts w:ascii="Tahoma" w:eastAsia="Tahoma" w:hAnsi="Tahoma" w:cs="Tahoma"/>
          <w:sz w:val="24"/>
        </w:rPr>
        <w:t xml:space="preserve"> of ongoing and anticipated clinical studies, our expectations regarding the availability of our capital resources, and our plans to develop and commercialize our consumer products. These forward-looking statements are based on management's expectations an</w:t>
      </w:r>
      <w:r>
        <w:rPr>
          <w:rFonts w:ascii="Tahoma" w:eastAsia="Tahoma" w:hAnsi="Tahoma" w:cs="Tahoma"/>
          <w:sz w:val="24"/>
        </w:rPr>
        <w:t>d assumptions as of the date of this press release and are subject to numerous risks and uncertainties, which could cause actual results to differ materially from those expressed or implied by such statements. These risks and uncertainties include, without</w:t>
      </w:r>
      <w:r>
        <w:rPr>
          <w:rFonts w:ascii="Tahoma" w:eastAsia="Tahoma" w:hAnsi="Tahoma" w:cs="Tahoma"/>
          <w:sz w:val="24"/>
        </w:rPr>
        <w:t xml:space="preserve"> </w:t>
      </w:r>
      <w:r>
        <w:rPr>
          <w:rFonts w:ascii="Tahoma" w:eastAsia="Tahoma" w:hAnsi="Tahoma" w:cs="Tahoma"/>
          <w:sz w:val="24"/>
        </w:rPr>
        <w:lastRenderedPageBreak/>
        <w:t>limitation: the status, timing, costs, results and interpretation of our clinical studies; the uncertainties inherent in conducting clinical studies; results from our ongoing and planned preclinical development; expectations of our ability to make regulat</w:t>
      </w:r>
      <w:r>
        <w:rPr>
          <w:rFonts w:ascii="Tahoma" w:eastAsia="Tahoma" w:hAnsi="Tahoma" w:cs="Tahoma"/>
          <w:sz w:val="24"/>
        </w:rPr>
        <w:t>ory filings and obtain and maintain regulatory approvals, our ability to develop and commercialize our consumer products; anticipated positioning and product attributes of our consumer products; results of early clinical studies as indicative of the result</w:t>
      </w:r>
      <w:r>
        <w:rPr>
          <w:rFonts w:ascii="Tahoma" w:eastAsia="Tahoma" w:hAnsi="Tahoma" w:cs="Tahoma"/>
          <w:sz w:val="24"/>
        </w:rPr>
        <w:t>s of future trials; availability of funding sufficient for our foreseeable and unforeseeable operating expenses and capital expenditure requirements; other matters that could affect the availability or commercial potential of our consumer or drug product c</w:t>
      </w:r>
      <w:r>
        <w:rPr>
          <w:rFonts w:ascii="Tahoma" w:eastAsia="Tahoma" w:hAnsi="Tahoma" w:cs="Tahoma"/>
          <w:sz w:val="24"/>
        </w:rPr>
        <w:t>andidates; the inherent uncertainties associated with intellectual property; and other factors discussed in greater detail under the heading "Risk Factors" in our Annual Report on Form 10-K for the year ended December 31, 2014 and subsequent filings with t</w:t>
      </w:r>
      <w:r>
        <w:rPr>
          <w:rFonts w:ascii="Tahoma" w:eastAsia="Tahoma" w:hAnsi="Tahoma" w:cs="Tahoma"/>
          <w:sz w:val="24"/>
        </w:rPr>
        <w:t>he Securities and Exchange Commission (SEC). You are encouraged to read our filings with the SEC, available at www.sec.gov, for a discussion of these and other risks and uncertainties. Any forward-looking statements that we make in this press release speak</w:t>
      </w:r>
      <w:r>
        <w:rPr>
          <w:rFonts w:ascii="Tahoma" w:eastAsia="Tahoma" w:hAnsi="Tahoma" w:cs="Tahoma"/>
          <w:sz w:val="24"/>
        </w:rPr>
        <w:t xml:space="preserve"> only as of the date of this press release. We assume no obligation to update our forward-looking statements whether as a result of new information, future events or otherwise, after the date of this press release.</w:t>
      </w:r>
    </w:p>
    <w:p w:rsidR="0006683C" w:rsidRDefault="0006683C">
      <w:pPr>
        <w:spacing w:line="288" w:lineRule="auto"/>
        <w:rPr>
          <w:rFonts w:ascii="Tahoma" w:eastAsia="Tahoma" w:hAnsi="Tahoma" w:cs="Tahoma"/>
          <w:sz w:val="24"/>
        </w:rPr>
      </w:pPr>
    </w:p>
    <w:p w:rsidR="0006683C" w:rsidRDefault="0006683C">
      <w:pPr>
        <w:spacing w:line="288" w:lineRule="auto"/>
        <w:rPr>
          <w:rFonts w:ascii="Tahoma" w:eastAsia="Tahoma" w:hAnsi="Tahoma" w:cs="Tahoma"/>
          <w:sz w:val="24"/>
        </w:rPr>
      </w:pPr>
    </w:p>
    <w:p w:rsidR="0006683C" w:rsidRDefault="002A259E">
      <w:pPr>
        <w:spacing w:after="280" w:line="288" w:lineRule="auto"/>
        <w:jc w:val="center"/>
        <w:rPr>
          <w:rFonts w:ascii="Tahoma" w:eastAsia="Tahoma" w:hAnsi="Tahoma" w:cs="Tahoma"/>
          <w:sz w:val="24"/>
        </w:rPr>
      </w:pPr>
      <w:r>
        <w:rPr>
          <w:rFonts w:ascii="Tahoma" w:eastAsia="Tahoma" w:hAnsi="Tahoma" w:cs="Tahoma"/>
          <w:sz w:val="24"/>
        </w:rPr>
        <w:t>###</w:t>
      </w:r>
    </w:p>
    <w:p w:rsidR="0006683C" w:rsidRDefault="002A2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10080"/>
          <w:tab w:val="left" w:pos="10800"/>
          <w:tab w:val="left" w:pos="11520"/>
        </w:tabs>
        <w:spacing w:line="288" w:lineRule="auto"/>
        <w:rPr>
          <w:rFonts w:ascii="Tahoma" w:eastAsia="Tahoma" w:hAnsi="Tahoma" w:cs="Tahoma"/>
          <w:sz w:val="24"/>
        </w:rPr>
      </w:pPr>
      <w:r>
        <w:rPr>
          <w:rFonts w:ascii="Tahoma" w:eastAsia="Tahoma" w:hAnsi="Tahoma" w:cs="Tahoma"/>
          <w:sz w:val="24"/>
        </w:rPr>
        <w:t>Contact:</w:t>
      </w:r>
    </w:p>
    <w:p w:rsidR="0006683C" w:rsidRDefault="002A2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10080"/>
          <w:tab w:val="left" w:pos="10800"/>
          <w:tab w:val="left" w:pos="11520"/>
        </w:tabs>
        <w:spacing w:line="288" w:lineRule="auto"/>
        <w:rPr>
          <w:rFonts w:ascii="Tahoma" w:eastAsia="Tahoma" w:hAnsi="Tahoma" w:cs="Tahoma"/>
          <w:sz w:val="24"/>
        </w:rPr>
      </w:pPr>
      <w:r>
        <w:rPr>
          <w:rFonts w:ascii="Tahoma" w:eastAsia="Tahoma" w:hAnsi="Tahoma" w:cs="Tahoma"/>
          <w:sz w:val="24"/>
        </w:rPr>
        <w:t>Elizabeth Woo</w:t>
      </w:r>
    </w:p>
    <w:p w:rsidR="0006683C" w:rsidRDefault="002A2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10080"/>
          <w:tab w:val="left" w:pos="10800"/>
          <w:tab w:val="left" w:pos="11520"/>
        </w:tabs>
        <w:spacing w:line="288" w:lineRule="auto"/>
        <w:rPr>
          <w:rFonts w:ascii="Tahoma" w:eastAsia="Tahoma" w:hAnsi="Tahoma" w:cs="Tahoma"/>
          <w:sz w:val="24"/>
        </w:rPr>
      </w:pPr>
      <w:r>
        <w:rPr>
          <w:rFonts w:ascii="Tahoma" w:eastAsia="Tahoma" w:hAnsi="Tahoma" w:cs="Tahoma"/>
          <w:sz w:val="24"/>
        </w:rPr>
        <w:t>SVP, Investo</w:t>
      </w:r>
      <w:r>
        <w:rPr>
          <w:rFonts w:ascii="Tahoma" w:eastAsia="Tahoma" w:hAnsi="Tahoma" w:cs="Tahoma"/>
          <w:sz w:val="24"/>
        </w:rPr>
        <w:t>r Relations &amp; Corporate Communications</w:t>
      </w:r>
      <w:r>
        <w:rPr>
          <w:rFonts w:ascii="Tahoma" w:eastAsia="Tahoma" w:hAnsi="Tahoma" w:cs="Tahoma"/>
          <w:sz w:val="24"/>
        </w:rPr>
        <w:tab/>
      </w:r>
    </w:p>
    <w:p w:rsidR="0006683C" w:rsidRDefault="002A2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10080"/>
          <w:tab w:val="left" w:pos="10800"/>
          <w:tab w:val="left" w:pos="11520"/>
        </w:tabs>
        <w:spacing w:line="288" w:lineRule="auto"/>
        <w:rPr>
          <w:rFonts w:ascii="Tahoma" w:eastAsia="Tahoma" w:hAnsi="Tahoma" w:cs="Tahoma"/>
          <w:sz w:val="24"/>
        </w:rPr>
      </w:pPr>
      <w:r>
        <w:rPr>
          <w:rFonts w:ascii="Tahoma" w:eastAsia="Tahoma" w:hAnsi="Tahoma" w:cs="Tahoma"/>
          <w:sz w:val="24"/>
        </w:rPr>
        <w:t>Flex Pharma, Inc.</w:t>
      </w:r>
    </w:p>
    <w:p w:rsidR="0006683C" w:rsidRDefault="002A25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640"/>
          <w:tab w:val="left" w:pos="9360"/>
          <w:tab w:val="left" w:pos="10080"/>
          <w:tab w:val="left" w:pos="10800"/>
          <w:tab w:val="left" w:pos="11520"/>
        </w:tabs>
        <w:spacing w:line="288" w:lineRule="auto"/>
        <w:rPr>
          <w:rFonts w:ascii="Tahoma" w:eastAsia="Tahoma" w:hAnsi="Tahoma" w:cs="Tahoma"/>
          <w:sz w:val="24"/>
        </w:rPr>
      </w:pPr>
      <w:r>
        <w:rPr>
          <w:rFonts w:ascii="Tahoma" w:eastAsia="Tahoma" w:hAnsi="Tahoma" w:cs="Tahoma"/>
          <w:color w:val="0000FF"/>
          <w:sz w:val="24"/>
        </w:rPr>
        <w:t>irdept@flex-pharma.com</w:t>
      </w:r>
    </w:p>
    <w:p w:rsidR="0006683C" w:rsidRDefault="002A259E">
      <w:pPr>
        <w:spacing w:after="400" w:line="288" w:lineRule="auto"/>
        <w:rPr>
          <w:rFonts w:ascii="Tahoma" w:eastAsia="Tahoma" w:hAnsi="Tahoma" w:cs="Tahoma"/>
          <w:sz w:val="24"/>
        </w:rPr>
      </w:pPr>
      <w:r>
        <w:rPr>
          <w:rFonts w:ascii="Tahoma" w:eastAsia="Tahoma" w:hAnsi="Tahoma" w:cs="Tahoma"/>
          <w:sz w:val="24"/>
        </w:rPr>
        <w:t>617-874-1829</w:t>
      </w:r>
    </w:p>
    <w:p w:rsidR="0006683C" w:rsidRDefault="002A259E">
      <w:pPr>
        <w:spacing w:line="288" w:lineRule="auto"/>
        <w:rPr>
          <w:rFonts w:ascii="Tahoma" w:eastAsia="Tahoma" w:hAnsi="Tahoma" w:cs="Tahoma"/>
          <w:sz w:val="24"/>
        </w:rPr>
      </w:pPr>
      <w:r>
        <w:rPr>
          <w:rFonts w:ascii="Tahoma" w:eastAsia="Tahoma" w:hAnsi="Tahoma" w:cs="Tahoma"/>
          <w:sz w:val="24"/>
        </w:rPr>
        <w:t>- Financial Tables to Follow -</w:t>
      </w:r>
    </w:p>
    <w:p w:rsidR="0006683C" w:rsidRDefault="0006683C">
      <w:pPr>
        <w:sectPr w:rsidR="0006683C">
          <w:headerReference w:type="even" r:id="rId23"/>
          <w:headerReference w:type="default" r:id="rId24"/>
          <w:footerReference w:type="even" r:id="rId25"/>
          <w:footerReference w:type="default" r:id="rId26"/>
          <w:type w:val="continuous"/>
          <w:pgSz w:w="12240" w:h="15840"/>
          <w:pgMar w:top="1440" w:right="1800" w:bottom="1440" w:left="1800" w:header="160" w:footer="1240" w:gutter="0"/>
          <w:pgNumType w:chapSep="period"/>
          <w:cols w:space="720"/>
        </w:sectPr>
      </w:pPr>
    </w:p>
    <w:p w:rsidR="0006683C" w:rsidRDefault="0006683C">
      <w:pPr>
        <w:spacing w:after="140"/>
        <w:ind w:hanging="1440"/>
      </w:pPr>
      <w:bookmarkStart w:id="5" w:name="Financials"/>
      <w:bookmarkEnd w:id="5"/>
    </w:p>
    <w:tbl>
      <w:tblPr>
        <w:tblW w:w="10800" w:type="dxa"/>
        <w:jc w:val="center"/>
        <w:tblLayout w:type="fixed"/>
        <w:tblCellMar>
          <w:left w:w="10" w:type="dxa"/>
          <w:right w:w="10" w:type="dxa"/>
        </w:tblCellMar>
        <w:tblLook w:val="04A0" w:firstRow="1" w:lastRow="0" w:firstColumn="1" w:lastColumn="0" w:noHBand="0" w:noVBand="1"/>
      </w:tblPr>
      <w:tblGrid>
        <w:gridCol w:w="6320"/>
        <w:gridCol w:w="240"/>
        <w:gridCol w:w="2000"/>
        <w:gridCol w:w="240"/>
        <w:gridCol w:w="2000"/>
      </w:tblGrid>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b/>
                <w:sz w:val="22"/>
              </w:rPr>
            </w:pPr>
            <w:r>
              <w:rPr>
                <w:rFonts w:ascii="Tahoma" w:eastAsia="Tahoma" w:hAnsi="Tahoma" w:cs="Tahoma"/>
                <w:b/>
                <w:color w:val="000000"/>
                <w:sz w:val="22"/>
              </w:rPr>
              <w:t>Flex Pharma, Inc.</w:t>
            </w:r>
          </w:p>
        </w:tc>
        <w:tc>
          <w:tcPr>
            <w:tcW w:w="240" w:type="dxa"/>
            <w:tcMar>
              <w:left w:w="60" w:type="dxa"/>
              <w:right w:w="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c>
          <w:tcPr>
            <w:tcW w:w="240" w:type="dxa"/>
            <w:tcMar>
              <w:left w:w="60" w:type="dxa"/>
              <w:right w:w="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r>
      <w:tr w:rsidR="002A259E" w:rsidTr="002A259E">
        <w:tblPrEx>
          <w:tblCellMar>
            <w:top w:w="0" w:type="dxa"/>
            <w:bottom w:w="0" w:type="dxa"/>
          </w:tblCellMar>
        </w:tblPrEx>
        <w:trPr>
          <w:trHeight w:hRule="exact" w:val="320"/>
          <w:jc w:val="center"/>
        </w:trPr>
        <w:tc>
          <w:tcPr>
            <w:tcW w:w="8560" w:type="dxa"/>
            <w:gridSpan w:val="3"/>
            <w:tcMar>
              <w:left w:w="60" w:type="dxa"/>
              <w:right w:w="40" w:type="dxa"/>
            </w:tcMar>
            <w:vAlign w:val="bottom"/>
          </w:tcPr>
          <w:p w:rsidR="0006683C" w:rsidRDefault="002A259E">
            <w:pPr>
              <w:keepNext/>
              <w:keepLines/>
              <w:spacing w:before="40" w:after="40"/>
              <w:rPr>
                <w:rFonts w:ascii="Tahoma" w:eastAsia="Tahoma" w:hAnsi="Tahoma" w:cs="Tahoma"/>
                <w:b/>
                <w:sz w:val="22"/>
              </w:rPr>
            </w:pPr>
            <w:r>
              <w:rPr>
                <w:rFonts w:ascii="Tahoma" w:eastAsia="Tahoma" w:hAnsi="Tahoma" w:cs="Tahoma"/>
                <w:b/>
                <w:color w:val="000000"/>
                <w:sz w:val="22"/>
              </w:rPr>
              <w:t>Unaudited Selected Consolidated Balance Sheet Information</w:t>
            </w:r>
          </w:p>
        </w:tc>
        <w:tc>
          <w:tcPr>
            <w:tcW w:w="240" w:type="dxa"/>
            <w:tcMar>
              <w:left w:w="60" w:type="dxa"/>
              <w:right w:w="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b/>
                <w:sz w:val="22"/>
              </w:rPr>
            </w:pPr>
            <w:r>
              <w:rPr>
                <w:rFonts w:ascii="Tahoma" w:eastAsia="Tahoma" w:hAnsi="Tahoma" w:cs="Tahoma"/>
                <w:b/>
                <w:color w:val="000000"/>
                <w:sz w:val="22"/>
              </w:rPr>
              <w:t>(in thousands)</w:t>
            </w:r>
          </w:p>
        </w:tc>
        <w:tc>
          <w:tcPr>
            <w:tcW w:w="240" w:type="dxa"/>
            <w:tcMar>
              <w:left w:w="60" w:type="dxa"/>
              <w:right w:w="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c>
          <w:tcPr>
            <w:tcW w:w="240" w:type="dxa"/>
            <w:tcMar>
              <w:left w:w="60" w:type="dxa"/>
              <w:right w:w="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r>
      <w:tr w:rsidR="0006683C">
        <w:tblPrEx>
          <w:tblCellMar>
            <w:top w:w="0" w:type="dxa"/>
            <w:bottom w:w="0" w:type="dxa"/>
          </w:tblCellMar>
        </w:tblPrEx>
        <w:trPr>
          <w:trHeight w:hRule="exact" w:val="540"/>
          <w:jc w:val="center"/>
        </w:trPr>
        <w:tc>
          <w:tcPr>
            <w:tcW w:w="6320" w:type="dxa"/>
            <w:tcMar>
              <w:left w:w="60" w:type="dxa"/>
              <w:right w:w="0" w:type="dxa"/>
            </w:tcMar>
            <w:vAlign w:val="bottom"/>
          </w:tcPr>
          <w:p w:rsidR="0006683C" w:rsidRDefault="0006683C">
            <w:pPr>
              <w:keepNext/>
              <w:keepLines/>
              <w:spacing w:before="40" w:after="40"/>
            </w:pPr>
          </w:p>
        </w:tc>
        <w:tc>
          <w:tcPr>
            <w:tcW w:w="240" w:type="dxa"/>
            <w:tcMar>
              <w:left w:w="60" w:type="dxa"/>
              <w:right w:w="0" w:type="dxa"/>
            </w:tcMar>
            <w:vAlign w:val="bottom"/>
          </w:tcPr>
          <w:p w:rsidR="0006683C" w:rsidRDefault="0006683C">
            <w:pPr>
              <w:keepNext/>
              <w:keepLines/>
              <w:spacing w:before="40" w:after="40"/>
            </w:pPr>
          </w:p>
        </w:tc>
        <w:tc>
          <w:tcPr>
            <w:tcW w:w="2000" w:type="dxa"/>
            <w:tcBorders>
              <w:bottom w:val="single" w:sz="8" w:space="0" w:color="auto"/>
            </w:tcBorders>
            <w:tcMar>
              <w:left w:w="60" w:type="dxa"/>
              <w:right w:w="60" w:type="dxa"/>
            </w:tcMar>
            <w:vAlign w:val="bottom"/>
          </w:tcPr>
          <w:p w:rsidR="0006683C" w:rsidRDefault="002A259E">
            <w:pPr>
              <w:keepNext/>
              <w:keepLines/>
              <w:spacing w:before="40"/>
              <w:jc w:val="center"/>
              <w:rPr>
                <w:rFonts w:ascii="Tahoma" w:eastAsia="Tahoma" w:hAnsi="Tahoma" w:cs="Tahoma"/>
                <w:sz w:val="22"/>
              </w:rPr>
            </w:pPr>
            <w:r>
              <w:rPr>
                <w:rFonts w:ascii="Tahoma" w:eastAsia="Tahoma" w:hAnsi="Tahoma" w:cs="Tahoma"/>
                <w:sz w:val="22"/>
              </w:rPr>
              <w:t>March 31,</w:t>
            </w:r>
          </w:p>
          <w:p w:rsidR="0006683C" w:rsidRDefault="002A259E">
            <w:pPr>
              <w:keepNext/>
              <w:keepLines/>
              <w:spacing w:after="40"/>
              <w:jc w:val="center"/>
              <w:rPr>
                <w:rFonts w:ascii="Tahoma" w:eastAsia="Tahoma" w:hAnsi="Tahoma" w:cs="Tahoma"/>
                <w:sz w:val="22"/>
              </w:rPr>
            </w:pPr>
            <w:r>
              <w:rPr>
                <w:rFonts w:ascii="Tahoma" w:eastAsia="Tahoma" w:hAnsi="Tahoma" w:cs="Tahoma"/>
                <w:sz w:val="22"/>
              </w:rPr>
              <w:t>2015</w:t>
            </w:r>
          </w:p>
        </w:tc>
        <w:tc>
          <w:tcPr>
            <w:tcW w:w="240" w:type="dxa"/>
            <w:tcMar>
              <w:left w:w="60" w:type="dxa"/>
              <w:right w:w="0" w:type="dxa"/>
            </w:tcMar>
            <w:vAlign w:val="bottom"/>
          </w:tcPr>
          <w:p w:rsidR="0006683C" w:rsidRDefault="0006683C">
            <w:pPr>
              <w:keepNext/>
              <w:keepLines/>
              <w:spacing w:before="40" w:after="40"/>
            </w:pPr>
          </w:p>
        </w:tc>
        <w:tc>
          <w:tcPr>
            <w:tcW w:w="2000" w:type="dxa"/>
            <w:tcBorders>
              <w:bottom w:val="single" w:sz="8" w:space="0" w:color="auto"/>
            </w:tcBorders>
            <w:tcMar>
              <w:left w:w="60" w:type="dxa"/>
              <w:right w:w="60" w:type="dxa"/>
            </w:tcMar>
            <w:vAlign w:val="bottom"/>
          </w:tcPr>
          <w:p w:rsidR="0006683C" w:rsidRDefault="002A259E">
            <w:pPr>
              <w:keepNext/>
              <w:keepLines/>
              <w:spacing w:before="40" w:after="40"/>
              <w:jc w:val="center"/>
              <w:rPr>
                <w:rFonts w:ascii="Tahoma" w:eastAsia="Tahoma" w:hAnsi="Tahoma" w:cs="Tahoma"/>
                <w:sz w:val="22"/>
              </w:rPr>
            </w:pPr>
            <w:r>
              <w:rPr>
                <w:rFonts w:ascii="Tahoma" w:eastAsia="Tahoma" w:hAnsi="Tahoma" w:cs="Tahoma"/>
                <w:color w:val="000000"/>
                <w:sz w:val="22"/>
              </w:rPr>
              <w:t>December 31, 2014</w:t>
            </w:r>
          </w:p>
        </w:tc>
      </w:tr>
      <w:tr w:rsidR="0006683C">
        <w:tblPrEx>
          <w:tblCellMar>
            <w:top w:w="0" w:type="dxa"/>
            <w:bottom w:w="0" w:type="dxa"/>
          </w:tblCellMar>
        </w:tblPrEx>
        <w:trPr>
          <w:trHeight w:hRule="exact" w:val="320"/>
          <w:jc w:val="center"/>
        </w:trPr>
        <w:tc>
          <w:tcPr>
            <w:tcW w:w="6320" w:type="dxa"/>
            <w:shd w:val="clear" w:color="auto" w:fill="CCEEFF"/>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Cash</w:t>
            </w:r>
          </w:p>
        </w:tc>
        <w:tc>
          <w:tcPr>
            <w:tcW w:w="240" w:type="dxa"/>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110,522</w:t>
            </w:r>
          </w:p>
        </w:tc>
        <w:tc>
          <w:tcPr>
            <w:tcW w:w="240" w:type="dxa"/>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33,854</w:t>
            </w: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Prepaid expenses and other current assets</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1,055</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370</w:t>
            </w:r>
          </w:p>
        </w:tc>
      </w:tr>
      <w:tr w:rsidR="0006683C">
        <w:tblPrEx>
          <w:tblCellMar>
            <w:top w:w="0" w:type="dxa"/>
            <w:bottom w:w="0" w:type="dxa"/>
          </w:tblCellMar>
        </w:tblPrEx>
        <w:trPr>
          <w:trHeight w:hRule="exact" w:val="320"/>
          <w:jc w:val="center"/>
        </w:trPr>
        <w:tc>
          <w:tcPr>
            <w:tcW w:w="6320" w:type="dxa"/>
            <w:shd w:val="clear" w:color="auto" w:fill="CCEEFF"/>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Property and equipment, net</w:t>
            </w: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105</w:t>
            </w: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85</w:t>
            </w: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Other assets</w:t>
            </w:r>
          </w:p>
        </w:tc>
        <w:tc>
          <w:tcPr>
            <w:tcW w:w="240" w:type="dxa"/>
            <w:tcMar>
              <w:left w:w="0" w:type="dxa"/>
              <w:right w:w="60" w:type="dxa"/>
            </w:tcMar>
            <w:vAlign w:val="bottom"/>
          </w:tcPr>
          <w:p w:rsidR="0006683C" w:rsidRDefault="0006683C">
            <w:pPr>
              <w:keepNext/>
              <w:keepLines/>
              <w:spacing w:before="40" w:after="40"/>
            </w:pPr>
          </w:p>
        </w:tc>
        <w:tc>
          <w:tcPr>
            <w:tcW w:w="2000" w:type="dxa"/>
            <w:tcBorders>
              <w:bottom w:val="single" w:sz="8" w:space="0" w:color="auto"/>
            </w:tcBorders>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262</w:t>
            </w:r>
          </w:p>
        </w:tc>
        <w:tc>
          <w:tcPr>
            <w:tcW w:w="240" w:type="dxa"/>
            <w:tcMar>
              <w:left w:w="0" w:type="dxa"/>
              <w:right w:w="60" w:type="dxa"/>
            </w:tcMar>
            <w:vAlign w:val="bottom"/>
          </w:tcPr>
          <w:p w:rsidR="0006683C" w:rsidRDefault="0006683C">
            <w:pPr>
              <w:keepNext/>
              <w:keepLines/>
              <w:spacing w:before="40" w:after="40"/>
            </w:pPr>
          </w:p>
        </w:tc>
        <w:tc>
          <w:tcPr>
            <w:tcW w:w="2000" w:type="dxa"/>
            <w:tcBorders>
              <w:bottom w:val="single" w:sz="8" w:space="0" w:color="auto"/>
            </w:tcBorders>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1,302</w:t>
            </w:r>
          </w:p>
        </w:tc>
      </w:tr>
      <w:tr w:rsidR="0006683C">
        <w:tblPrEx>
          <w:tblCellMar>
            <w:top w:w="0" w:type="dxa"/>
            <w:bottom w:w="0" w:type="dxa"/>
          </w:tblCellMar>
        </w:tblPrEx>
        <w:trPr>
          <w:trHeight w:hRule="exact" w:val="320"/>
          <w:jc w:val="center"/>
        </w:trPr>
        <w:tc>
          <w:tcPr>
            <w:tcW w:w="6320" w:type="dxa"/>
            <w:shd w:val="clear" w:color="auto" w:fill="CCEEFF"/>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Total assets</w:t>
            </w:r>
          </w:p>
        </w:tc>
        <w:tc>
          <w:tcPr>
            <w:tcW w:w="240" w:type="dxa"/>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bottom w:val="double" w:sz="4" w:space="0" w:color="auto"/>
            </w:tcBorders>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111,944</w:t>
            </w:r>
          </w:p>
        </w:tc>
        <w:tc>
          <w:tcPr>
            <w:tcW w:w="240" w:type="dxa"/>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bottom w:val="double" w:sz="4" w:space="0" w:color="auto"/>
            </w:tcBorders>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35,611</w:t>
            </w:r>
          </w:p>
        </w:tc>
      </w:tr>
      <w:tr w:rsidR="0006683C">
        <w:tblPrEx>
          <w:tblCellMar>
            <w:top w:w="0" w:type="dxa"/>
            <w:bottom w:w="0" w:type="dxa"/>
          </w:tblCellMar>
        </w:tblPrEx>
        <w:trPr>
          <w:trHeight w:hRule="exact" w:val="300"/>
          <w:jc w:val="center"/>
        </w:trPr>
        <w:tc>
          <w:tcPr>
            <w:tcW w:w="6320" w:type="dxa"/>
            <w:tcMar>
              <w:left w:w="60" w:type="dxa"/>
              <w:right w:w="0" w:type="dxa"/>
            </w:tcMar>
            <w:vAlign w:val="bottom"/>
          </w:tcPr>
          <w:p w:rsidR="0006683C" w:rsidRDefault="0006683C">
            <w:pPr>
              <w:keepNext/>
              <w:keepLines/>
              <w:spacing w:before="40" w:after="40"/>
            </w:pPr>
          </w:p>
        </w:tc>
        <w:tc>
          <w:tcPr>
            <w:tcW w:w="240" w:type="dxa"/>
            <w:tcMar>
              <w:left w:w="0" w:type="dxa"/>
              <w:right w:w="6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c>
          <w:tcPr>
            <w:tcW w:w="240" w:type="dxa"/>
            <w:tcMar>
              <w:left w:w="0" w:type="dxa"/>
              <w:right w:w="6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r>
      <w:tr w:rsidR="0006683C">
        <w:tblPrEx>
          <w:tblCellMar>
            <w:top w:w="0" w:type="dxa"/>
            <w:bottom w:w="0" w:type="dxa"/>
          </w:tblCellMar>
        </w:tblPrEx>
        <w:trPr>
          <w:trHeight w:hRule="exact" w:val="320"/>
          <w:jc w:val="center"/>
        </w:trPr>
        <w:tc>
          <w:tcPr>
            <w:tcW w:w="6320" w:type="dxa"/>
            <w:shd w:val="clear" w:color="auto" w:fill="CCEEFF"/>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Accounts payable and accrued expenses</w:t>
            </w:r>
          </w:p>
        </w:tc>
        <w:tc>
          <w:tcPr>
            <w:tcW w:w="240" w:type="dxa"/>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1,346</w:t>
            </w:r>
          </w:p>
        </w:tc>
        <w:tc>
          <w:tcPr>
            <w:tcW w:w="240" w:type="dxa"/>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995</w:t>
            </w: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Other liabilities</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517</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123</w:t>
            </w:r>
          </w:p>
        </w:tc>
      </w:tr>
      <w:tr w:rsidR="0006683C">
        <w:tblPrEx>
          <w:tblCellMar>
            <w:top w:w="0" w:type="dxa"/>
            <w:bottom w:w="0" w:type="dxa"/>
          </w:tblCellMar>
        </w:tblPrEx>
        <w:trPr>
          <w:trHeight w:hRule="exact" w:val="320"/>
          <w:jc w:val="center"/>
        </w:trPr>
        <w:tc>
          <w:tcPr>
            <w:tcW w:w="6320" w:type="dxa"/>
            <w:shd w:val="clear" w:color="auto" w:fill="CCEEFF"/>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Convertible preferred stock</w:t>
            </w: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41,031</w:t>
            </w: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Stockholders’ equity (deficit)</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110,081</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(6,538)</w:t>
            </w:r>
          </w:p>
        </w:tc>
      </w:tr>
      <w:tr w:rsidR="0006683C">
        <w:tblPrEx>
          <w:tblCellMar>
            <w:top w:w="0" w:type="dxa"/>
            <w:bottom w:w="0" w:type="dxa"/>
          </w:tblCellMar>
        </w:tblPrEx>
        <w:trPr>
          <w:trHeight w:hRule="exact" w:val="320"/>
          <w:jc w:val="center"/>
        </w:trPr>
        <w:tc>
          <w:tcPr>
            <w:tcW w:w="6320" w:type="dxa"/>
            <w:shd w:val="clear" w:color="auto" w:fill="CCEEFF"/>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Total liabilities and stockholders’ equity (deficit)</w:t>
            </w:r>
          </w:p>
        </w:tc>
        <w:tc>
          <w:tcPr>
            <w:tcW w:w="240" w:type="dxa"/>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top w:val="single" w:sz="8" w:space="0" w:color="auto"/>
              <w:bottom w:val="double" w:sz="4" w:space="0" w:color="auto"/>
            </w:tcBorders>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111,944</w:t>
            </w:r>
          </w:p>
        </w:tc>
        <w:tc>
          <w:tcPr>
            <w:tcW w:w="240" w:type="dxa"/>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top w:val="single" w:sz="8" w:space="0" w:color="auto"/>
              <w:bottom w:val="double" w:sz="4" w:space="0" w:color="auto"/>
            </w:tcBorders>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35,611</w:t>
            </w:r>
          </w:p>
        </w:tc>
      </w:tr>
      <w:tr w:rsidR="0006683C">
        <w:tblPrEx>
          <w:tblCellMar>
            <w:top w:w="0" w:type="dxa"/>
            <w:bottom w:w="0" w:type="dxa"/>
          </w:tblCellMar>
        </w:tblPrEx>
        <w:trPr>
          <w:trHeight w:hRule="exact" w:val="300"/>
          <w:jc w:val="center"/>
        </w:trPr>
        <w:tc>
          <w:tcPr>
            <w:tcW w:w="6320" w:type="dxa"/>
            <w:tcMar>
              <w:left w:w="60" w:type="dxa"/>
              <w:right w:w="0" w:type="dxa"/>
            </w:tcMar>
            <w:vAlign w:val="bottom"/>
          </w:tcPr>
          <w:p w:rsidR="0006683C" w:rsidRDefault="0006683C">
            <w:pPr>
              <w:keepNext/>
              <w:keepLines/>
              <w:spacing w:before="40" w:after="40"/>
            </w:pPr>
          </w:p>
        </w:tc>
        <w:tc>
          <w:tcPr>
            <w:tcW w:w="240" w:type="dxa"/>
            <w:tcMar>
              <w:left w:w="0" w:type="dxa"/>
              <w:right w:w="6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c>
          <w:tcPr>
            <w:tcW w:w="240" w:type="dxa"/>
            <w:tcMar>
              <w:left w:w="0" w:type="dxa"/>
              <w:right w:w="6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r>
      <w:tr w:rsidR="002A259E" w:rsidTr="002A259E">
        <w:tblPrEx>
          <w:tblCellMar>
            <w:top w:w="0" w:type="dxa"/>
            <w:bottom w:w="0" w:type="dxa"/>
          </w:tblCellMar>
        </w:tblPrEx>
        <w:trPr>
          <w:trHeight w:hRule="exact" w:val="320"/>
          <w:jc w:val="center"/>
        </w:trPr>
        <w:tc>
          <w:tcPr>
            <w:tcW w:w="8560" w:type="dxa"/>
            <w:gridSpan w:val="3"/>
            <w:tcMar>
              <w:left w:w="60" w:type="dxa"/>
              <w:right w:w="40" w:type="dxa"/>
            </w:tcMar>
            <w:vAlign w:val="bottom"/>
          </w:tcPr>
          <w:p w:rsidR="0006683C" w:rsidRDefault="002A259E">
            <w:pPr>
              <w:keepNext/>
              <w:keepLines/>
              <w:spacing w:before="40" w:after="40"/>
              <w:rPr>
                <w:rFonts w:ascii="Tahoma" w:eastAsia="Tahoma" w:hAnsi="Tahoma" w:cs="Tahoma"/>
                <w:b/>
                <w:sz w:val="22"/>
              </w:rPr>
            </w:pPr>
            <w:r>
              <w:rPr>
                <w:rFonts w:ascii="Tahoma" w:eastAsia="Tahoma" w:hAnsi="Tahoma" w:cs="Tahoma"/>
                <w:b/>
                <w:color w:val="000000"/>
                <w:sz w:val="22"/>
              </w:rPr>
              <w:t>Unaudited Condensed Consolidated Statements of Operations</w:t>
            </w:r>
          </w:p>
        </w:tc>
        <w:tc>
          <w:tcPr>
            <w:tcW w:w="240" w:type="dxa"/>
            <w:tcMar>
              <w:left w:w="0" w:type="dxa"/>
              <w:right w:w="6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b/>
                <w:sz w:val="22"/>
              </w:rPr>
            </w:pPr>
            <w:r>
              <w:rPr>
                <w:rFonts w:ascii="Tahoma" w:eastAsia="Tahoma" w:hAnsi="Tahoma" w:cs="Tahoma"/>
                <w:b/>
                <w:color w:val="000000"/>
                <w:sz w:val="22"/>
              </w:rPr>
              <w:t>(in thousands, except per share amounts)</w:t>
            </w:r>
          </w:p>
        </w:tc>
        <w:tc>
          <w:tcPr>
            <w:tcW w:w="240" w:type="dxa"/>
            <w:tcMar>
              <w:left w:w="0" w:type="dxa"/>
              <w:right w:w="6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c>
          <w:tcPr>
            <w:tcW w:w="240" w:type="dxa"/>
            <w:tcMar>
              <w:left w:w="0" w:type="dxa"/>
              <w:right w:w="60" w:type="dxa"/>
            </w:tcMar>
            <w:vAlign w:val="bottom"/>
          </w:tcPr>
          <w:p w:rsidR="0006683C" w:rsidRDefault="0006683C">
            <w:pPr>
              <w:keepNext/>
              <w:keepLines/>
              <w:spacing w:before="40" w:after="40"/>
            </w:pPr>
          </w:p>
        </w:tc>
        <w:tc>
          <w:tcPr>
            <w:tcW w:w="2000" w:type="dxa"/>
            <w:tcMar>
              <w:left w:w="60" w:type="dxa"/>
              <w:right w:w="0" w:type="dxa"/>
            </w:tcMar>
            <w:vAlign w:val="bottom"/>
          </w:tcPr>
          <w:p w:rsidR="0006683C" w:rsidRDefault="0006683C">
            <w:pPr>
              <w:keepNext/>
              <w:keepLines/>
              <w:spacing w:before="40" w:after="40"/>
            </w:pPr>
          </w:p>
        </w:tc>
      </w:tr>
      <w:tr w:rsidR="0006683C">
        <w:tblPrEx>
          <w:tblCellMar>
            <w:top w:w="0" w:type="dxa"/>
            <w:bottom w:w="0" w:type="dxa"/>
          </w:tblCellMar>
        </w:tblPrEx>
        <w:trPr>
          <w:trHeight w:hRule="exact" w:val="800"/>
          <w:jc w:val="center"/>
        </w:trPr>
        <w:tc>
          <w:tcPr>
            <w:tcW w:w="6320" w:type="dxa"/>
            <w:tcMar>
              <w:left w:w="60" w:type="dxa"/>
              <w:right w:w="0" w:type="dxa"/>
            </w:tcMar>
            <w:vAlign w:val="bottom"/>
          </w:tcPr>
          <w:p w:rsidR="0006683C" w:rsidRDefault="0006683C">
            <w:pPr>
              <w:keepNext/>
              <w:keepLines/>
              <w:spacing w:before="40" w:after="40"/>
            </w:pPr>
          </w:p>
        </w:tc>
        <w:tc>
          <w:tcPr>
            <w:tcW w:w="240" w:type="dxa"/>
            <w:tcMar>
              <w:left w:w="0" w:type="dxa"/>
              <w:right w:w="60" w:type="dxa"/>
            </w:tcMar>
            <w:vAlign w:val="bottom"/>
          </w:tcPr>
          <w:p w:rsidR="0006683C" w:rsidRDefault="0006683C">
            <w:pPr>
              <w:keepNext/>
              <w:keepLines/>
              <w:spacing w:before="40" w:after="40"/>
            </w:pPr>
          </w:p>
        </w:tc>
        <w:tc>
          <w:tcPr>
            <w:tcW w:w="2000" w:type="dxa"/>
            <w:tcBorders>
              <w:bottom w:val="single" w:sz="8" w:space="0" w:color="auto"/>
            </w:tcBorders>
            <w:tcMar>
              <w:left w:w="60" w:type="dxa"/>
              <w:right w:w="60" w:type="dxa"/>
            </w:tcMar>
            <w:vAlign w:val="bottom"/>
          </w:tcPr>
          <w:p w:rsidR="0006683C" w:rsidRDefault="002A259E">
            <w:pPr>
              <w:keepNext/>
              <w:keepLines/>
              <w:spacing w:before="40"/>
              <w:jc w:val="center"/>
              <w:rPr>
                <w:rFonts w:ascii="Tahoma" w:eastAsia="Tahoma" w:hAnsi="Tahoma" w:cs="Tahoma"/>
                <w:sz w:val="22"/>
              </w:rPr>
            </w:pPr>
            <w:r>
              <w:rPr>
                <w:rFonts w:ascii="Tahoma" w:eastAsia="Tahoma" w:hAnsi="Tahoma" w:cs="Tahoma"/>
                <w:sz w:val="22"/>
              </w:rPr>
              <w:t>Three Months Ended</w:t>
            </w:r>
          </w:p>
          <w:p w:rsidR="0006683C" w:rsidRDefault="002A259E">
            <w:pPr>
              <w:keepNext/>
              <w:keepLines/>
              <w:spacing w:after="40"/>
              <w:jc w:val="center"/>
              <w:rPr>
                <w:rFonts w:ascii="Tahoma" w:eastAsia="Tahoma" w:hAnsi="Tahoma" w:cs="Tahoma"/>
                <w:sz w:val="22"/>
              </w:rPr>
            </w:pPr>
            <w:r>
              <w:rPr>
                <w:rFonts w:ascii="Tahoma" w:eastAsia="Tahoma" w:hAnsi="Tahoma" w:cs="Tahoma"/>
                <w:sz w:val="22"/>
              </w:rPr>
              <w:t>March 31, 2015</w:t>
            </w:r>
          </w:p>
        </w:tc>
        <w:tc>
          <w:tcPr>
            <w:tcW w:w="240" w:type="dxa"/>
            <w:tcMar>
              <w:left w:w="0" w:type="dxa"/>
              <w:right w:w="60" w:type="dxa"/>
            </w:tcMar>
            <w:vAlign w:val="bottom"/>
          </w:tcPr>
          <w:p w:rsidR="0006683C" w:rsidRDefault="0006683C">
            <w:pPr>
              <w:keepNext/>
              <w:keepLines/>
              <w:spacing w:before="40" w:after="40"/>
            </w:pPr>
          </w:p>
        </w:tc>
        <w:tc>
          <w:tcPr>
            <w:tcW w:w="2000" w:type="dxa"/>
            <w:tcBorders>
              <w:bottom w:val="single" w:sz="8" w:space="0" w:color="auto"/>
            </w:tcBorders>
            <w:tcMar>
              <w:left w:w="60" w:type="dxa"/>
              <w:right w:w="60" w:type="dxa"/>
            </w:tcMar>
            <w:vAlign w:val="bottom"/>
          </w:tcPr>
          <w:p w:rsidR="0006683C" w:rsidRDefault="002A259E">
            <w:pPr>
              <w:keepNext/>
              <w:keepLines/>
              <w:spacing w:before="40"/>
              <w:jc w:val="center"/>
              <w:rPr>
                <w:rFonts w:ascii="Tahoma" w:eastAsia="Tahoma" w:hAnsi="Tahoma" w:cs="Tahoma"/>
                <w:sz w:val="22"/>
              </w:rPr>
            </w:pPr>
            <w:r>
              <w:rPr>
                <w:rFonts w:ascii="Tahoma" w:eastAsia="Tahoma" w:hAnsi="Tahoma" w:cs="Tahoma"/>
                <w:sz w:val="22"/>
              </w:rPr>
              <w:t>Three Months Ended</w:t>
            </w:r>
          </w:p>
          <w:p w:rsidR="0006683C" w:rsidRDefault="002A259E">
            <w:pPr>
              <w:keepNext/>
              <w:keepLines/>
              <w:spacing w:after="40"/>
              <w:jc w:val="center"/>
              <w:rPr>
                <w:rFonts w:ascii="Tahoma" w:eastAsia="Tahoma" w:hAnsi="Tahoma" w:cs="Tahoma"/>
                <w:sz w:val="22"/>
              </w:rPr>
            </w:pPr>
            <w:r>
              <w:rPr>
                <w:rFonts w:ascii="Tahoma" w:eastAsia="Tahoma" w:hAnsi="Tahoma" w:cs="Tahoma"/>
                <w:sz w:val="22"/>
              </w:rPr>
              <w:t>March 31, 2014</w:t>
            </w:r>
          </w:p>
        </w:tc>
      </w:tr>
      <w:tr w:rsidR="0006683C">
        <w:tblPrEx>
          <w:tblCellMar>
            <w:top w:w="0" w:type="dxa"/>
            <w:bottom w:w="0" w:type="dxa"/>
          </w:tblCellMar>
        </w:tblPrEx>
        <w:trPr>
          <w:trHeight w:hRule="exact" w:val="320"/>
          <w:jc w:val="center"/>
        </w:trPr>
        <w:tc>
          <w:tcPr>
            <w:tcW w:w="6320" w:type="dxa"/>
            <w:shd w:val="clear" w:color="auto" w:fill="CCEEFF"/>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Operating expenses:</w:t>
            </w: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60" w:type="dxa"/>
              <w:right w:w="0" w:type="dxa"/>
            </w:tcMar>
            <w:vAlign w:val="bottom"/>
          </w:tcPr>
          <w:p w:rsidR="0006683C" w:rsidRDefault="0006683C">
            <w:pPr>
              <w:keepNext/>
              <w:keepLines/>
              <w:spacing w:before="40" w:after="40"/>
            </w:pP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60" w:type="dxa"/>
              <w:right w:w="0" w:type="dxa"/>
            </w:tcMar>
            <w:vAlign w:val="bottom"/>
          </w:tcPr>
          <w:p w:rsidR="0006683C" w:rsidRDefault="0006683C">
            <w:pPr>
              <w:keepNext/>
              <w:keepLines/>
              <w:spacing w:before="40" w:after="40"/>
            </w:pPr>
          </w:p>
        </w:tc>
      </w:tr>
      <w:tr w:rsidR="0006683C">
        <w:tblPrEx>
          <w:tblCellMar>
            <w:top w:w="0" w:type="dxa"/>
            <w:bottom w:w="0" w:type="dxa"/>
          </w:tblCellMar>
        </w:tblPrEx>
        <w:trPr>
          <w:trHeight w:hRule="exact" w:val="320"/>
          <w:jc w:val="center"/>
        </w:trPr>
        <w:tc>
          <w:tcPr>
            <w:tcW w:w="6320" w:type="dxa"/>
            <w:tcMar>
              <w:left w:w="18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Research and development</w:t>
            </w:r>
          </w:p>
        </w:tc>
        <w:tc>
          <w:tcPr>
            <w:tcW w:w="240" w:type="dxa"/>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2,805</w:t>
            </w:r>
          </w:p>
        </w:tc>
        <w:tc>
          <w:tcPr>
            <w:tcW w:w="240" w:type="dxa"/>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30</w:t>
            </w:r>
          </w:p>
        </w:tc>
      </w:tr>
      <w:tr w:rsidR="0006683C">
        <w:tblPrEx>
          <w:tblCellMar>
            <w:top w:w="0" w:type="dxa"/>
            <w:bottom w:w="0" w:type="dxa"/>
          </w:tblCellMar>
        </w:tblPrEx>
        <w:trPr>
          <w:trHeight w:hRule="exact" w:val="320"/>
          <w:jc w:val="center"/>
        </w:trPr>
        <w:tc>
          <w:tcPr>
            <w:tcW w:w="6320" w:type="dxa"/>
            <w:shd w:val="clear" w:color="auto" w:fill="CCEEFF"/>
            <w:tcMar>
              <w:left w:w="18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General and administrative</w:t>
            </w: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tcBorders>
              <w:bottom w:val="single" w:sz="8" w:space="0" w:color="auto"/>
            </w:tcBorders>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3,216</w:t>
            </w: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tcBorders>
              <w:bottom w:val="single" w:sz="8" w:space="0" w:color="auto"/>
            </w:tcBorders>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63</w:t>
            </w: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Total operating expenses</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6,021</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93</w:t>
            </w:r>
          </w:p>
        </w:tc>
      </w:tr>
      <w:tr w:rsidR="0006683C">
        <w:tblPrEx>
          <w:tblCellMar>
            <w:top w:w="0" w:type="dxa"/>
            <w:bottom w:w="0" w:type="dxa"/>
          </w:tblCellMar>
        </w:tblPrEx>
        <w:trPr>
          <w:trHeight w:hRule="exact" w:val="300"/>
          <w:jc w:val="center"/>
        </w:trPr>
        <w:tc>
          <w:tcPr>
            <w:tcW w:w="6320" w:type="dxa"/>
            <w:shd w:val="clear" w:color="auto" w:fill="CCEEFF"/>
            <w:tcMar>
              <w:left w:w="60" w:type="dxa"/>
              <w:right w:w="0" w:type="dxa"/>
            </w:tcMar>
            <w:vAlign w:val="bottom"/>
          </w:tcPr>
          <w:p w:rsidR="0006683C" w:rsidRDefault="0006683C">
            <w:pPr>
              <w:keepNext/>
              <w:keepLines/>
              <w:spacing w:before="40" w:after="40"/>
            </w:pP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60" w:type="dxa"/>
              <w:right w:w="0" w:type="dxa"/>
            </w:tcMar>
            <w:vAlign w:val="bottom"/>
          </w:tcPr>
          <w:p w:rsidR="0006683C" w:rsidRDefault="0006683C">
            <w:pPr>
              <w:keepNext/>
              <w:keepLines/>
              <w:spacing w:before="40" w:after="40"/>
            </w:pP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60" w:type="dxa"/>
              <w:right w:w="0" w:type="dxa"/>
            </w:tcMar>
            <w:vAlign w:val="bottom"/>
          </w:tcPr>
          <w:p w:rsidR="0006683C" w:rsidRDefault="0006683C">
            <w:pPr>
              <w:keepNext/>
              <w:keepLines/>
              <w:spacing w:before="40" w:after="40"/>
            </w:pP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Loss from operations</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(6,021)</w:t>
            </w:r>
          </w:p>
        </w:tc>
        <w:tc>
          <w:tcPr>
            <w:tcW w:w="240" w:type="dxa"/>
            <w:tcMar>
              <w:left w:w="0" w:type="dxa"/>
              <w:right w:w="60" w:type="dxa"/>
            </w:tcMar>
            <w:vAlign w:val="bottom"/>
          </w:tcPr>
          <w:p w:rsidR="0006683C" w:rsidRDefault="0006683C">
            <w:pPr>
              <w:keepNext/>
              <w:keepLines/>
              <w:spacing w:before="40" w:after="40"/>
            </w:pPr>
          </w:p>
        </w:tc>
        <w:tc>
          <w:tcPr>
            <w:tcW w:w="2000" w:type="dxa"/>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(93)</w:t>
            </w:r>
          </w:p>
        </w:tc>
      </w:tr>
      <w:tr w:rsidR="0006683C">
        <w:tblPrEx>
          <w:tblCellMar>
            <w:top w:w="0" w:type="dxa"/>
            <w:bottom w:w="0" w:type="dxa"/>
          </w:tblCellMar>
        </w:tblPrEx>
        <w:trPr>
          <w:trHeight w:hRule="exact" w:val="320"/>
          <w:jc w:val="center"/>
        </w:trPr>
        <w:tc>
          <w:tcPr>
            <w:tcW w:w="6320" w:type="dxa"/>
            <w:shd w:val="clear" w:color="auto" w:fill="CCEEFF"/>
            <w:tcMar>
              <w:left w:w="60" w:type="dxa"/>
              <w:right w:w="40" w:type="dxa"/>
            </w:tcMar>
            <w:vAlign w:val="bottom"/>
          </w:tcPr>
          <w:p w:rsidR="0006683C" w:rsidRDefault="002A259E">
            <w:pPr>
              <w:keepNext/>
              <w:keepLines/>
              <w:spacing w:before="40" w:after="40"/>
              <w:ind w:left="90"/>
              <w:rPr>
                <w:rFonts w:ascii="Tahoma" w:eastAsia="Tahoma" w:hAnsi="Tahoma" w:cs="Tahoma"/>
                <w:sz w:val="22"/>
              </w:rPr>
            </w:pPr>
            <w:r>
              <w:rPr>
                <w:rFonts w:ascii="Tahoma" w:eastAsia="Tahoma" w:hAnsi="Tahoma" w:cs="Tahoma"/>
                <w:color w:val="000000"/>
                <w:sz w:val="22"/>
              </w:rPr>
              <w:t>Interest income</w:t>
            </w: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tcBorders>
              <w:bottom w:val="single" w:sz="8" w:space="0" w:color="auto"/>
            </w:tcBorders>
            <w:shd w:val="clear" w:color="auto" w:fill="CCEEFF"/>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3</w:t>
            </w: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tcBorders>
              <w:bottom w:val="single" w:sz="8" w:space="0" w:color="auto"/>
            </w:tcBorders>
            <w:shd w:val="clear" w:color="auto" w:fill="CCEEFF"/>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Net loss</w:t>
            </w:r>
          </w:p>
        </w:tc>
        <w:tc>
          <w:tcPr>
            <w:tcW w:w="240" w:type="dxa"/>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bottom w:val="double" w:sz="4" w:space="0" w:color="auto"/>
            </w:tcBorders>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(6,018)</w:t>
            </w:r>
          </w:p>
        </w:tc>
        <w:tc>
          <w:tcPr>
            <w:tcW w:w="240" w:type="dxa"/>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bottom w:val="double" w:sz="4" w:space="0" w:color="auto"/>
            </w:tcBorders>
            <w:tcMar>
              <w:left w:w="0" w:type="dxa"/>
              <w:right w:w="60" w:type="dxa"/>
            </w:tcMar>
            <w:vAlign w:val="bottom"/>
          </w:tcPr>
          <w:p w:rsidR="0006683C" w:rsidRDefault="002A259E">
            <w:pPr>
              <w:keepNext/>
              <w:keepLines/>
              <w:spacing w:before="40" w:after="40"/>
              <w:ind w:firstLine="40"/>
              <w:jc w:val="right"/>
              <w:rPr>
                <w:rFonts w:ascii="Tahoma" w:eastAsia="Tahoma" w:hAnsi="Tahoma" w:cs="Tahoma"/>
                <w:sz w:val="22"/>
              </w:rPr>
            </w:pPr>
            <w:r>
              <w:rPr>
                <w:rFonts w:ascii="Tahoma" w:eastAsia="Tahoma" w:hAnsi="Tahoma" w:cs="Tahoma"/>
                <w:color w:val="000000"/>
                <w:sz w:val="22"/>
              </w:rPr>
              <w:t>(93)</w:t>
            </w:r>
          </w:p>
        </w:tc>
      </w:tr>
      <w:tr w:rsidR="0006683C">
        <w:tblPrEx>
          <w:tblCellMar>
            <w:top w:w="0" w:type="dxa"/>
            <w:bottom w:w="0" w:type="dxa"/>
          </w:tblCellMar>
        </w:tblPrEx>
        <w:trPr>
          <w:trHeight w:hRule="exact" w:val="300"/>
          <w:jc w:val="center"/>
        </w:trPr>
        <w:tc>
          <w:tcPr>
            <w:tcW w:w="6320" w:type="dxa"/>
            <w:shd w:val="clear" w:color="auto" w:fill="CCEEFF"/>
            <w:tcMar>
              <w:left w:w="60" w:type="dxa"/>
              <w:right w:w="0" w:type="dxa"/>
            </w:tcMar>
            <w:vAlign w:val="bottom"/>
          </w:tcPr>
          <w:p w:rsidR="0006683C" w:rsidRDefault="0006683C">
            <w:pPr>
              <w:keepNext/>
              <w:keepLines/>
              <w:spacing w:before="40" w:after="40"/>
            </w:pP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60" w:type="dxa"/>
              <w:right w:w="0" w:type="dxa"/>
            </w:tcMar>
            <w:vAlign w:val="bottom"/>
          </w:tcPr>
          <w:p w:rsidR="0006683C" w:rsidRDefault="0006683C">
            <w:pPr>
              <w:keepNext/>
              <w:keepLines/>
              <w:spacing w:before="40" w:after="40"/>
            </w:pP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60" w:type="dxa"/>
              <w:right w:w="0" w:type="dxa"/>
            </w:tcMar>
            <w:vAlign w:val="bottom"/>
          </w:tcPr>
          <w:p w:rsidR="0006683C" w:rsidRDefault="0006683C">
            <w:pPr>
              <w:keepNext/>
              <w:keepLines/>
              <w:spacing w:before="40" w:after="40"/>
            </w:pP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Next/>
              <w:keepLines/>
              <w:spacing w:before="40" w:after="40"/>
              <w:rPr>
                <w:rFonts w:ascii="Tahoma" w:eastAsia="Tahoma" w:hAnsi="Tahoma" w:cs="Tahoma"/>
                <w:sz w:val="22"/>
              </w:rPr>
            </w:pPr>
            <w:r>
              <w:rPr>
                <w:rFonts w:ascii="Tahoma" w:eastAsia="Tahoma" w:hAnsi="Tahoma" w:cs="Tahoma"/>
                <w:color w:val="000000"/>
                <w:sz w:val="22"/>
              </w:rPr>
              <w:t>Net loss per share–basic and diluted</w:t>
            </w:r>
          </w:p>
        </w:tc>
        <w:tc>
          <w:tcPr>
            <w:tcW w:w="240" w:type="dxa"/>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bottom w:val="double" w:sz="4" w:space="0" w:color="auto"/>
            </w:tcBorders>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(0.59)</w:t>
            </w:r>
          </w:p>
        </w:tc>
        <w:tc>
          <w:tcPr>
            <w:tcW w:w="240" w:type="dxa"/>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w:t>
            </w:r>
          </w:p>
        </w:tc>
        <w:tc>
          <w:tcPr>
            <w:tcW w:w="2000" w:type="dxa"/>
            <w:tcBorders>
              <w:bottom w:val="double" w:sz="4" w:space="0" w:color="auto"/>
            </w:tcBorders>
            <w:tcMar>
              <w:left w:w="0" w:type="dxa"/>
              <w:right w:w="60" w:type="dxa"/>
            </w:tcMar>
            <w:vAlign w:val="bottom"/>
          </w:tcPr>
          <w:p w:rsidR="0006683C" w:rsidRDefault="002A259E">
            <w:pPr>
              <w:keepNext/>
              <w:keepLines/>
              <w:spacing w:before="40" w:after="40"/>
              <w:jc w:val="right"/>
              <w:rPr>
                <w:rFonts w:ascii="Tahoma" w:eastAsia="Tahoma" w:hAnsi="Tahoma" w:cs="Tahoma"/>
                <w:sz w:val="22"/>
              </w:rPr>
            </w:pPr>
            <w:r>
              <w:rPr>
                <w:rFonts w:ascii="Tahoma" w:eastAsia="Tahoma" w:hAnsi="Tahoma" w:cs="Tahoma"/>
                <w:color w:val="000000"/>
                <w:sz w:val="22"/>
              </w:rPr>
              <w:t>(0.07)</w:t>
            </w:r>
          </w:p>
        </w:tc>
      </w:tr>
      <w:tr w:rsidR="0006683C">
        <w:tblPrEx>
          <w:tblCellMar>
            <w:top w:w="0" w:type="dxa"/>
            <w:bottom w:w="0" w:type="dxa"/>
          </w:tblCellMar>
        </w:tblPrEx>
        <w:trPr>
          <w:trHeight w:hRule="exact" w:val="300"/>
          <w:jc w:val="center"/>
        </w:trPr>
        <w:tc>
          <w:tcPr>
            <w:tcW w:w="6320" w:type="dxa"/>
            <w:shd w:val="clear" w:color="auto" w:fill="CCEEFF"/>
            <w:tcMar>
              <w:left w:w="60" w:type="dxa"/>
              <w:right w:w="0" w:type="dxa"/>
            </w:tcMar>
            <w:vAlign w:val="bottom"/>
          </w:tcPr>
          <w:p w:rsidR="0006683C" w:rsidRDefault="0006683C">
            <w:pPr>
              <w:keepNext/>
              <w:keepLines/>
              <w:spacing w:before="40" w:after="40"/>
            </w:pPr>
          </w:p>
        </w:tc>
        <w:tc>
          <w:tcPr>
            <w:tcW w:w="240" w:type="dxa"/>
            <w:shd w:val="clear" w:color="auto" w:fill="CCEEFF"/>
            <w:tcMar>
              <w:left w:w="0" w:type="dxa"/>
              <w:right w:w="60" w:type="dxa"/>
            </w:tcMar>
            <w:vAlign w:val="bottom"/>
          </w:tcPr>
          <w:p w:rsidR="0006683C" w:rsidRDefault="0006683C">
            <w:pPr>
              <w:keepNext/>
              <w:keepLines/>
              <w:spacing w:before="40" w:after="40"/>
            </w:pPr>
          </w:p>
        </w:tc>
        <w:tc>
          <w:tcPr>
            <w:tcW w:w="2000" w:type="dxa"/>
            <w:shd w:val="clear" w:color="auto" w:fill="CCEEFF"/>
            <w:tcMar>
              <w:left w:w="60" w:type="dxa"/>
              <w:right w:w="0" w:type="dxa"/>
            </w:tcMar>
            <w:vAlign w:val="bottom"/>
          </w:tcPr>
          <w:p w:rsidR="0006683C" w:rsidRDefault="0006683C">
            <w:pPr>
              <w:keepNext/>
              <w:keepLines/>
              <w:spacing w:before="40" w:after="40"/>
            </w:pPr>
          </w:p>
        </w:tc>
        <w:tc>
          <w:tcPr>
            <w:tcW w:w="240" w:type="dxa"/>
            <w:shd w:val="clear" w:color="auto" w:fill="CCEEFF"/>
            <w:tcMar>
              <w:left w:w="60" w:type="dxa"/>
              <w:right w:w="0" w:type="dxa"/>
            </w:tcMar>
            <w:vAlign w:val="bottom"/>
          </w:tcPr>
          <w:p w:rsidR="0006683C" w:rsidRDefault="0006683C">
            <w:pPr>
              <w:keepNext/>
              <w:keepLines/>
              <w:spacing w:before="40" w:after="40"/>
            </w:pPr>
          </w:p>
        </w:tc>
        <w:tc>
          <w:tcPr>
            <w:tcW w:w="2000" w:type="dxa"/>
            <w:shd w:val="clear" w:color="auto" w:fill="CCEEFF"/>
            <w:tcMar>
              <w:left w:w="60" w:type="dxa"/>
              <w:right w:w="0" w:type="dxa"/>
            </w:tcMar>
            <w:vAlign w:val="bottom"/>
          </w:tcPr>
          <w:p w:rsidR="0006683C" w:rsidRDefault="0006683C">
            <w:pPr>
              <w:keepNext/>
              <w:keepLines/>
              <w:spacing w:before="40" w:after="40"/>
            </w:pPr>
          </w:p>
        </w:tc>
      </w:tr>
      <w:tr w:rsidR="0006683C">
        <w:tblPrEx>
          <w:tblCellMar>
            <w:top w:w="0" w:type="dxa"/>
            <w:bottom w:w="0" w:type="dxa"/>
          </w:tblCellMar>
        </w:tblPrEx>
        <w:trPr>
          <w:trHeight w:hRule="exact" w:val="320"/>
          <w:jc w:val="center"/>
        </w:trPr>
        <w:tc>
          <w:tcPr>
            <w:tcW w:w="6320" w:type="dxa"/>
            <w:tcMar>
              <w:left w:w="60" w:type="dxa"/>
              <w:right w:w="40" w:type="dxa"/>
            </w:tcMar>
            <w:vAlign w:val="bottom"/>
          </w:tcPr>
          <w:p w:rsidR="0006683C" w:rsidRDefault="002A259E">
            <w:pPr>
              <w:keepLines/>
              <w:spacing w:before="40" w:after="40"/>
              <w:rPr>
                <w:rFonts w:ascii="Tahoma" w:eastAsia="Tahoma" w:hAnsi="Tahoma" w:cs="Tahoma"/>
                <w:sz w:val="22"/>
              </w:rPr>
            </w:pPr>
            <w:r>
              <w:rPr>
                <w:rFonts w:ascii="Tahoma" w:eastAsia="Tahoma" w:hAnsi="Tahoma" w:cs="Tahoma"/>
                <w:color w:val="000000"/>
                <w:sz w:val="22"/>
              </w:rPr>
              <w:t>Weighted-average number of common shares outstanding (1)</w:t>
            </w:r>
          </w:p>
        </w:tc>
        <w:tc>
          <w:tcPr>
            <w:tcW w:w="240" w:type="dxa"/>
            <w:tcMar>
              <w:left w:w="0" w:type="dxa"/>
              <w:right w:w="60" w:type="dxa"/>
            </w:tcMar>
            <w:vAlign w:val="bottom"/>
          </w:tcPr>
          <w:p w:rsidR="0006683C" w:rsidRDefault="0006683C">
            <w:pPr>
              <w:keepLines/>
              <w:spacing w:before="40" w:after="40"/>
            </w:pPr>
          </w:p>
        </w:tc>
        <w:tc>
          <w:tcPr>
            <w:tcW w:w="2000" w:type="dxa"/>
            <w:tcBorders>
              <w:bottom w:val="double" w:sz="4" w:space="0" w:color="auto"/>
            </w:tcBorders>
            <w:tcMar>
              <w:left w:w="0" w:type="dxa"/>
              <w:right w:w="60" w:type="dxa"/>
            </w:tcMar>
            <w:vAlign w:val="bottom"/>
          </w:tcPr>
          <w:p w:rsidR="0006683C" w:rsidRDefault="002A259E">
            <w:pPr>
              <w:keepLines/>
              <w:spacing w:before="40" w:after="40"/>
              <w:jc w:val="right"/>
              <w:rPr>
                <w:rFonts w:ascii="Tahoma" w:eastAsia="Tahoma" w:hAnsi="Tahoma" w:cs="Tahoma"/>
                <w:sz w:val="22"/>
              </w:rPr>
            </w:pPr>
            <w:r>
              <w:rPr>
                <w:rFonts w:ascii="Tahoma" w:eastAsia="Tahoma" w:hAnsi="Tahoma" w:cs="Tahoma"/>
                <w:color w:val="000000"/>
                <w:sz w:val="22"/>
              </w:rPr>
              <w:t>10,180</w:t>
            </w:r>
          </w:p>
        </w:tc>
        <w:tc>
          <w:tcPr>
            <w:tcW w:w="240" w:type="dxa"/>
            <w:tcMar>
              <w:left w:w="60" w:type="dxa"/>
              <w:right w:w="0" w:type="dxa"/>
            </w:tcMar>
            <w:vAlign w:val="bottom"/>
          </w:tcPr>
          <w:p w:rsidR="0006683C" w:rsidRDefault="0006683C">
            <w:pPr>
              <w:keepLines/>
              <w:spacing w:before="40" w:after="40"/>
            </w:pPr>
          </w:p>
        </w:tc>
        <w:tc>
          <w:tcPr>
            <w:tcW w:w="2000" w:type="dxa"/>
            <w:tcBorders>
              <w:bottom w:val="double" w:sz="4" w:space="0" w:color="auto"/>
            </w:tcBorders>
            <w:tcMar>
              <w:left w:w="0" w:type="dxa"/>
              <w:right w:w="60" w:type="dxa"/>
            </w:tcMar>
            <w:vAlign w:val="bottom"/>
          </w:tcPr>
          <w:p w:rsidR="0006683C" w:rsidRDefault="002A259E">
            <w:pPr>
              <w:keepLines/>
              <w:spacing w:before="40" w:after="40"/>
              <w:jc w:val="right"/>
              <w:rPr>
                <w:rFonts w:ascii="Tahoma" w:eastAsia="Tahoma" w:hAnsi="Tahoma" w:cs="Tahoma"/>
                <w:sz w:val="22"/>
              </w:rPr>
            </w:pPr>
            <w:r>
              <w:rPr>
                <w:rFonts w:ascii="Tahoma" w:eastAsia="Tahoma" w:hAnsi="Tahoma" w:cs="Tahoma"/>
                <w:color w:val="000000"/>
                <w:sz w:val="22"/>
              </w:rPr>
              <w:t>1,370</w:t>
            </w:r>
          </w:p>
        </w:tc>
      </w:tr>
    </w:tbl>
    <w:p w:rsidR="0006683C" w:rsidRDefault="0006683C">
      <w:pPr>
        <w:spacing w:before="80" w:line="346" w:lineRule="auto"/>
        <w:rPr>
          <w:rFonts w:ascii="Tahoma" w:eastAsia="Tahoma" w:hAnsi="Tahoma" w:cs="Tahoma"/>
          <w:sz w:val="18"/>
        </w:rPr>
      </w:pPr>
    </w:p>
    <w:p w:rsidR="0006683C" w:rsidRDefault="002A259E">
      <w:pPr>
        <w:numPr>
          <w:ilvl w:val="0"/>
          <w:numId w:val="9"/>
        </w:numPr>
        <w:tabs>
          <w:tab w:val="left" w:pos="720"/>
        </w:tabs>
        <w:spacing w:line="346" w:lineRule="auto"/>
        <w:ind w:left="360"/>
        <w:rPr>
          <w:rFonts w:ascii="Tahoma" w:eastAsia="Tahoma" w:hAnsi="Tahoma" w:cs="Tahoma"/>
          <w:sz w:val="18"/>
        </w:rPr>
      </w:pPr>
      <w:r>
        <w:rPr>
          <w:rFonts w:ascii="Tahoma" w:eastAsia="Tahoma" w:hAnsi="Tahoma" w:cs="Tahoma"/>
          <w:sz w:val="18"/>
        </w:rPr>
        <w:t>As of March 31, 2015, the Company had issued approximately 5.4 million shares of restricted stock that are subject to vesting. Of these shares, approximately 2.5 million shares had vested as of March 31, 2015 and are outstanding for purposes of computing w</w:t>
      </w:r>
      <w:r>
        <w:rPr>
          <w:rFonts w:ascii="Tahoma" w:eastAsia="Tahoma" w:hAnsi="Tahoma" w:cs="Tahoma"/>
          <w:sz w:val="18"/>
        </w:rPr>
        <w:t>eighted average shares outstanding. The remaining shares will be included in the weighted average shares outstanding calculation as such shares vest. Approximately 5.5 million shares issued by the Company in its IPO are considered outstanding for the weigh</w:t>
      </w:r>
      <w:r>
        <w:rPr>
          <w:rFonts w:ascii="Tahoma" w:eastAsia="Tahoma" w:hAnsi="Tahoma" w:cs="Tahoma"/>
          <w:sz w:val="18"/>
        </w:rPr>
        <w:t>ted average shares calculation at the date of issuance and approximately 7.0 million shares of common stock issued upon conversion of all outstanding shares of preferred stock are included in weighted average shares outstanding from the date of the closing</w:t>
      </w:r>
      <w:r>
        <w:rPr>
          <w:rFonts w:ascii="Tahoma" w:eastAsia="Tahoma" w:hAnsi="Tahoma" w:cs="Tahoma"/>
          <w:sz w:val="18"/>
        </w:rPr>
        <w:t xml:space="preserve"> of the IPO.</w:t>
      </w:r>
    </w:p>
    <w:sectPr w:rsidR="0006683C">
      <w:headerReference w:type="even" r:id="rId27"/>
      <w:headerReference w:type="default" r:id="rId28"/>
      <w:footerReference w:type="even" r:id="rId29"/>
      <w:footerReference w:type="default" r:id="rId30"/>
      <w:pgSz w:w="12240" w:h="15840"/>
      <w:pgMar w:top="720" w:right="720" w:bottom="720" w:left="720" w:header="160" w:footer="520" w:gutter="0"/>
      <w:pgNumType w:chapSep="period"/>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259E">
      <w:r>
        <w:separator/>
      </w:r>
    </w:p>
  </w:endnote>
  <w:endnote w:type="continuationSeparator" w:id="0">
    <w:p w:rsidR="00000000" w:rsidRDefault="002A2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259E">
      <w:r>
        <w:separator/>
      </w:r>
    </w:p>
  </w:footnote>
  <w:footnote w:type="continuationSeparator" w:id="0">
    <w:p w:rsidR="00000000" w:rsidRDefault="002A25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3C" w:rsidRDefault="002A259E">
    <w:pPr>
      <w:spacing w:line="288" w:lineRule="auto"/>
      <w:jc w:val="center"/>
    </w:pPr>
    <w:r>
      <w:rPr>
        <w:noProof/>
      </w:rPr>
      <w:drawing>
        <wp:inline distT="0" distB="0" distL="0" distR="0">
          <wp:extent cx="2133600" cy="495300"/>
          <wp:effectExtent l="0" t="0" r="0" b="0"/>
          <wp:docPr id="1" name="Image - Image1.gif"/>
          <wp:cNvGraphicFramePr/>
          <a:graphic xmlns:a="http://schemas.openxmlformats.org/drawingml/2006/main">
            <a:graphicData uri="http://schemas.openxmlformats.org/drawingml/2006/picture">
              <pic:pic xmlns:pic="http://schemas.openxmlformats.org/drawingml/2006/picture">
                <pic:nvPicPr>
                  <pic:cNvPr id="2" name="Image1.gif"/>
                  <pic:cNvPicPr>
                    <a:picLocks noChangeAspect="1"/>
                  </pic:cNvPicPr>
                </pic:nvPicPr>
                <pic:blipFill>
                  <a:blip r:embed="rId1"/>
                  <a:stretch>
                    <a:fillRect/>
                  </a:stretch>
                </pic:blipFill>
                <pic:spPr>
                  <a:xfrm>
                    <a:off x="0" y="0"/>
                    <a:ext cx="2133600" cy="495300"/>
                  </a:xfrm>
                  <a:prstGeom prst="rect">
                    <a:avLst/>
                  </a:prstGeom>
                </pic:spPr>
              </pic:pic>
            </a:graphicData>
          </a:graphic>
        </wp:inline>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3C" w:rsidRDefault="0006683C">
    <w:pPr>
      <w:spacing w:line="346" w:lineRule="auto"/>
      <w:jc w:val="right"/>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3C" w:rsidRDefault="0006683C">
    <w:pPr>
      <w:spacing w:line="346" w:lineRule="auto"/>
      <w:jc w:val="righ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59E">
    <w:r>
      <w:cr/>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3C" w:rsidRDefault="0006683C">
    <w:pPr>
      <w:spacing w:line="346" w:lineRule="auto"/>
      <w:jc w:val="right"/>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83C" w:rsidRDefault="0006683C">
    <w:pPr>
      <w:spacing w:line="346" w:lineRule="auto"/>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62E"/>
    <w:multiLevelType w:val="hybridMultilevel"/>
    <w:tmpl w:val="2C5C23C8"/>
    <w:lvl w:ilvl="0" w:tplc="1288689A">
      <w:start w:val="1"/>
      <w:numFmt w:val="bullet"/>
      <w:lvlText w:val="• "/>
      <w:lvlJc w:val="left"/>
      <w:pPr>
        <w:ind w:hanging="360"/>
      </w:pPr>
    </w:lvl>
    <w:lvl w:ilvl="1" w:tplc="520E5200">
      <w:numFmt w:val="decimal"/>
      <w:lvlText w:val=""/>
      <w:lvlJc w:val="left"/>
    </w:lvl>
    <w:lvl w:ilvl="2" w:tplc="26DC09AE">
      <w:numFmt w:val="decimal"/>
      <w:lvlText w:val=""/>
      <w:lvlJc w:val="left"/>
    </w:lvl>
    <w:lvl w:ilvl="3" w:tplc="BFA0E6BE">
      <w:numFmt w:val="decimal"/>
      <w:lvlText w:val=""/>
      <w:lvlJc w:val="left"/>
    </w:lvl>
    <w:lvl w:ilvl="4" w:tplc="89F64186">
      <w:numFmt w:val="decimal"/>
      <w:lvlText w:val=""/>
      <w:lvlJc w:val="left"/>
    </w:lvl>
    <w:lvl w:ilvl="5" w:tplc="14BCB154">
      <w:numFmt w:val="decimal"/>
      <w:lvlText w:val=""/>
      <w:lvlJc w:val="left"/>
    </w:lvl>
    <w:lvl w:ilvl="6" w:tplc="9580CB4C">
      <w:numFmt w:val="decimal"/>
      <w:lvlText w:val=""/>
      <w:lvlJc w:val="left"/>
    </w:lvl>
    <w:lvl w:ilvl="7" w:tplc="BD60A16A">
      <w:numFmt w:val="decimal"/>
      <w:lvlText w:val=""/>
      <w:lvlJc w:val="left"/>
    </w:lvl>
    <w:lvl w:ilvl="8" w:tplc="ED28A4AC">
      <w:numFmt w:val="decimal"/>
      <w:lvlText w:val=""/>
      <w:lvlJc w:val="left"/>
    </w:lvl>
  </w:abstractNum>
  <w:abstractNum w:abstractNumId="1">
    <w:nsid w:val="1AB70658"/>
    <w:multiLevelType w:val="hybridMultilevel"/>
    <w:tmpl w:val="41468586"/>
    <w:lvl w:ilvl="0" w:tplc="CBD2B8A4">
      <w:start w:val="1"/>
      <w:numFmt w:val="decimalEnclosedCircle"/>
      <w:lvlText w:val="◦ "/>
      <w:lvlJc w:val="left"/>
      <w:pPr>
        <w:ind w:hanging="360"/>
      </w:pPr>
    </w:lvl>
    <w:lvl w:ilvl="1" w:tplc="DD1E5372">
      <w:numFmt w:val="decimal"/>
      <w:lvlText w:val=""/>
      <w:lvlJc w:val="left"/>
    </w:lvl>
    <w:lvl w:ilvl="2" w:tplc="C478AD4E">
      <w:numFmt w:val="decimal"/>
      <w:lvlText w:val=""/>
      <w:lvlJc w:val="left"/>
    </w:lvl>
    <w:lvl w:ilvl="3" w:tplc="FDA68E7E">
      <w:numFmt w:val="decimal"/>
      <w:lvlText w:val=""/>
      <w:lvlJc w:val="left"/>
    </w:lvl>
    <w:lvl w:ilvl="4" w:tplc="2446D86A">
      <w:numFmt w:val="decimal"/>
      <w:lvlText w:val=""/>
      <w:lvlJc w:val="left"/>
    </w:lvl>
    <w:lvl w:ilvl="5" w:tplc="18B4FE8A">
      <w:numFmt w:val="decimal"/>
      <w:lvlText w:val=""/>
      <w:lvlJc w:val="left"/>
    </w:lvl>
    <w:lvl w:ilvl="6" w:tplc="776C0ED4">
      <w:numFmt w:val="decimal"/>
      <w:lvlText w:val=""/>
      <w:lvlJc w:val="left"/>
    </w:lvl>
    <w:lvl w:ilvl="7" w:tplc="1E0C1434">
      <w:numFmt w:val="decimal"/>
      <w:lvlText w:val=""/>
      <w:lvlJc w:val="left"/>
    </w:lvl>
    <w:lvl w:ilvl="8" w:tplc="7D1C315E">
      <w:numFmt w:val="decimal"/>
      <w:lvlText w:val=""/>
      <w:lvlJc w:val="left"/>
    </w:lvl>
  </w:abstractNum>
  <w:abstractNum w:abstractNumId="2">
    <w:nsid w:val="330D2D62"/>
    <w:multiLevelType w:val="hybridMultilevel"/>
    <w:tmpl w:val="95242314"/>
    <w:lvl w:ilvl="0" w:tplc="3F5AC88E">
      <w:start w:val="1"/>
      <w:numFmt w:val="decimalEnclosedCircle"/>
      <w:lvlText w:val="◦ "/>
      <w:lvlJc w:val="left"/>
      <w:pPr>
        <w:ind w:hanging="360"/>
      </w:pPr>
    </w:lvl>
    <w:lvl w:ilvl="1" w:tplc="9E6AC03A">
      <w:numFmt w:val="decimal"/>
      <w:lvlText w:val=""/>
      <w:lvlJc w:val="left"/>
    </w:lvl>
    <w:lvl w:ilvl="2" w:tplc="2A0EBA24">
      <w:numFmt w:val="decimal"/>
      <w:lvlText w:val=""/>
      <w:lvlJc w:val="left"/>
    </w:lvl>
    <w:lvl w:ilvl="3" w:tplc="8A8A5A40">
      <w:numFmt w:val="decimal"/>
      <w:lvlText w:val=""/>
      <w:lvlJc w:val="left"/>
    </w:lvl>
    <w:lvl w:ilvl="4" w:tplc="C88421D2">
      <w:numFmt w:val="decimal"/>
      <w:lvlText w:val=""/>
      <w:lvlJc w:val="left"/>
    </w:lvl>
    <w:lvl w:ilvl="5" w:tplc="D2522B42">
      <w:numFmt w:val="decimal"/>
      <w:lvlText w:val=""/>
      <w:lvlJc w:val="left"/>
    </w:lvl>
    <w:lvl w:ilvl="6" w:tplc="1248D900">
      <w:numFmt w:val="decimal"/>
      <w:lvlText w:val=""/>
      <w:lvlJc w:val="left"/>
    </w:lvl>
    <w:lvl w:ilvl="7" w:tplc="8228B1F8">
      <w:numFmt w:val="decimal"/>
      <w:lvlText w:val=""/>
      <w:lvlJc w:val="left"/>
    </w:lvl>
    <w:lvl w:ilvl="8" w:tplc="229AD376">
      <w:numFmt w:val="decimal"/>
      <w:lvlText w:val=""/>
      <w:lvlJc w:val="left"/>
    </w:lvl>
  </w:abstractNum>
  <w:abstractNum w:abstractNumId="3">
    <w:nsid w:val="3408499D"/>
    <w:multiLevelType w:val="hybridMultilevel"/>
    <w:tmpl w:val="8E6AEB36"/>
    <w:lvl w:ilvl="0" w:tplc="0DC4921E">
      <w:start w:val="1"/>
      <w:numFmt w:val="decimal"/>
      <w:lvlText w:val="(%1)"/>
      <w:lvlJc w:val="left"/>
      <w:pPr>
        <w:ind w:hanging="360"/>
      </w:pPr>
    </w:lvl>
    <w:lvl w:ilvl="1" w:tplc="2A545FDC">
      <w:numFmt w:val="decimal"/>
      <w:lvlText w:val=""/>
      <w:lvlJc w:val="left"/>
    </w:lvl>
    <w:lvl w:ilvl="2" w:tplc="0C0EB9BE">
      <w:numFmt w:val="decimal"/>
      <w:lvlText w:val=""/>
      <w:lvlJc w:val="left"/>
    </w:lvl>
    <w:lvl w:ilvl="3" w:tplc="2654C834">
      <w:numFmt w:val="decimal"/>
      <w:lvlText w:val=""/>
      <w:lvlJc w:val="left"/>
    </w:lvl>
    <w:lvl w:ilvl="4" w:tplc="FF864C6A">
      <w:numFmt w:val="decimal"/>
      <w:lvlText w:val=""/>
      <w:lvlJc w:val="left"/>
    </w:lvl>
    <w:lvl w:ilvl="5" w:tplc="ECFAF7E6">
      <w:numFmt w:val="decimal"/>
      <w:lvlText w:val=""/>
      <w:lvlJc w:val="left"/>
    </w:lvl>
    <w:lvl w:ilvl="6" w:tplc="CF78D6A2">
      <w:numFmt w:val="decimal"/>
      <w:lvlText w:val=""/>
      <w:lvlJc w:val="left"/>
    </w:lvl>
    <w:lvl w:ilvl="7" w:tplc="AA50509C">
      <w:numFmt w:val="decimal"/>
      <w:lvlText w:val=""/>
      <w:lvlJc w:val="left"/>
    </w:lvl>
    <w:lvl w:ilvl="8" w:tplc="E784795E">
      <w:numFmt w:val="decimal"/>
      <w:lvlText w:val=""/>
      <w:lvlJc w:val="left"/>
    </w:lvl>
  </w:abstractNum>
  <w:abstractNum w:abstractNumId="4">
    <w:nsid w:val="385E25DE"/>
    <w:multiLevelType w:val="hybridMultilevel"/>
    <w:tmpl w:val="D650582E"/>
    <w:lvl w:ilvl="0" w:tplc="4CAA9F48">
      <w:start w:val="1"/>
      <w:numFmt w:val="bullet"/>
      <w:lvlText w:val="• "/>
      <w:lvlJc w:val="left"/>
      <w:pPr>
        <w:ind w:hanging="360"/>
      </w:pPr>
    </w:lvl>
    <w:lvl w:ilvl="1" w:tplc="0F46548C">
      <w:numFmt w:val="decimal"/>
      <w:lvlText w:val=""/>
      <w:lvlJc w:val="left"/>
    </w:lvl>
    <w:lvl w:ilvl="2" w:tplc="E64EC254">
      <w:numFmt w:val="decimal"/>
      <w:lvlText w:val=""/>
      <w:lvlJc w:val="left"/>
    </w:lvl>
    <w:lvl w:ilvl="3" w:tplc="A488615A">
      <w:numFmt w:val="decimal"/>
      <w:lvlText w:val=""/>
      <w:lvlJc w:val="left"/>
    </w:lvl>
    <w:lvl w:ilvl="4" w:tplc="2668E2BA">
      <w:numFmt w:val="decimal"/>
      <w:lvlText w:val=""/>
      <w:lvlJc w:val="left"/>
    </w:lvl>
    <w:lvl w:ilvl="5" w:tplc="A40A7EA6">
      <w:numFmt w:val="decimal"/>
      <w:lvlText w:val=""/>
      <w:lvlJc w:val="left"/>
    </w:lvl>
    <w:lvl w:ilvl="6" w:tplc="13D66484">
      <w:numFmt w:val="decimal"/>
      <w:lvlText w:val=""/>
      <w:lvlJc w:val="left"/>
    </w:lvl>
    <w:lvl w:ilvl="7" w:tplc="7F988042">
      <w:numFmt w:val="decimal"/>
      <w:lvlText w:val=""/>
      <w:lvlJc w:val="left"/>
    </w:lvl>
    <w:lvl w:ilvl="8" w:tplc="C0A897EE">
      <w:numFmt w:val="decimal"/>
      <w:lvlText w:val=""/>
      <w:lvlJc w:val="left"/>
    </w:lvl>
  </w:abstractNum>
  <w:abstractNum w:abstractNumId="5">
    <w:nsid w:val="40E72A6A"/>
    <w:multiLevelType w:val="hybridMultilevel"/>
    <w:tmpl w:val="B73854E4"/>
    <w:lvl w:ilvl="0" w:tplc="367EF6B2">
      <w:start w:val="1"/>
      <w:numFmt w:val="bullet"/>
      <w:lvlText w:val="• "/>
      <w:lvlJc w:val="left"/>
      <w:pPr>
        <w:ind w:hanging="360"/>
      </w:pPr>
    </w:lvl>
    <w:lvl w:ilvl="1" w:tplc="C80C2616">
      <w:numFmt w:val="decimal"/>
      <w:lvlText w:val=""/>
      <w:lvlJc w:val="left"/>
    </w:lvl>
    <w:lvl w:ilvl="2" w:tplc="630EA8DE">
      <w:numFmt w:val="decimal"/>
      <w:lvlText w:val=""/>
      <w:lvlJc w:val="left"/>
    </w:lvl>
    <w:lvl w:ilvl="3" w:tplc="E4BC9EDC">
      <w:numFmt w:val="decimal"/>
      <w:lvlText w:val=""/>
      <w:lvlJc w:val="left"/>
    </w:lvl>
    <w:lvl w:ilvl="4" w:tplc="039E262E">
      <w:numFmt w:val="decimal"/>
      <w:lvlText w:val=""/>
      <w:lvlJc w:val="left"/>
    </w:lvl>
    <w:lvl w:ilvl="5" w:tplc="235AC092">
      <w:numFmt w:val="decimal"/>
      <w:lvlText w:val=""/>
      <w:lvlJc w:val="left"/>
    </w:lvl>
    <w:lvl w:ilvl="6" w:tplc="19B6C9A0">
      <w:numFmt w:val="decimal"/>
      <w:lvlText w:val=""/>
      <w:lvlJc w:val="left"/>
    </w:lvl>
    <w:lvl w:ilvl="7" w:tplc="82EC2846">
      <w:numFmt w:val="decimal"/>
      <w:lvlText w:val=""/>
      <w:lvlJc w:val="left"/>
    </w:lvl>
    <w:lvl w:ilvl="8" w:tplc="4956E5B8">
      <w:numFmt w:val="decimal"/>
      <w:lvlText w:val=""/>
      <w:lvlJc w:val="left"/>
    </w:lvl>
  </w:abstractNum>
  <w:abstractNum w:abstractNumId="6">
    <w:nsid w:val="43431F87"/>
    <w:multiLevelType w:val="hybridMultilevel"/>
    <w:tmpl w:val="608C36B6"/>
    <w:lvl w:ilvl="0" w:tplc="46E6498E">
      <w:start w:val="1"/>
      <w:numFmt w:val="bullet"/>
      <w:lvlText w:val="• "/>
      <w:lvlJc w:val="left"/>
      <w:pPr>
        <w:ind w:hanging="360"/>
      </w:pPr>
    </w:lvl>
    <w:lvl w:ilvl="1" w:tplc="61AA39DE">
      <w:numFmt w:val="decimal"/>
      <w:lvlText w:val=""/>
      <w:lvlJc w:val="left"/>
    </w:lvl>
    <w:lvl w:ilvl="2" w:tplc="491ABFBE">
      <w:numFmt w:val="decimal"/>
      <w:lvlText w:val=""/>
      <w:lvlJc w:val="left"/>
    </w:lvl>
    <w:lvl w:ilvl="3" w:tplc="6CBE3216">
      <w:numFmt w:val="decimal"/>
      <w:lvlText w:val=""/>
      <w:lvlJc w:val="left"/>
    </w:lvl>
    <w:lvl w:ilvl="4" w:tplc="FE50EFE6">
      <w:numFmt w:val="decimal"/>
      <w:lvlText w:val=""/>
      <w:lvlJc w:val="left"/>
    </w:lvl>
    <w:lvl w:ilvl="5" w:tplc="DC1A8486">
      <w:numFmt w:val="decimal"/>
      <w:lvlText w:val=""/>
      <w:lvlJc w:val="left"/>
    </w:lvl>
    <w:lvl w:ilvl="6" w:tplc="A0B4BBE8">
      <w:numFmt w:val="decimal"/>
      <w:lvlText w:val=""/>
      <w:lvlJc w:val="left"/>
    </w:lvl>
    <w:lvl w:ilvl="7" w:tplc="26A85560">
      <w:numFmt w:val="decimal"/>
      <w:lvlText w:val=""/>
      <w:lvlJc w:val="left"/>
    </w:lvl>
    <w:lvl w:ilvl="8" w:tplc="B8981D32">
      <w:numFmt w:val="decimal"/>
      <w:lvlText w:val=""/>
      <w:lvlJc w:val="left"/>
    </w:lvl>
  </w:abstractNum>
  <w:abstractNum w:abstractNumId="7">
    <w:nsid w:val="4D6F66C4"/>
    <w:multiLevelType w:val="hybridMultilevel"/>
    <w:tmpl w:val="73BA330A"/>
    <w:lvl w:ilvl="0" w:tplc="8BB40196">
      <w:start w:val="1"/>
      <w:numFmt w:val="bullet"/>
      <w:lvlText w:val="• "/>
      <w:lvlJc w:val="left"/>
      <w:pPr>
        <w:ind w:hanging="360"/>
      </w:pPr>
    </w:lvl>
    <w:lvl w:ilvl="1" w:tplc="3E26A452">
      <w:numFmt w:val="decimal"/>
      <w:lvlText w:val=""/>
      <w:lvlJc w:val="left"/>
    </w:lvl>
    <w:lvl w:ilvl="2" w:tplc="79C05EDC">
      <w:numFmt w:val="decimal"/>
      <w:lvlText w:val=""/>
      <w:lvlJc w:val="left"/>
    </w:lvl>
    <w:lvl w:ilvl="3" w:tplc="87B800D0">
      <w:numFmt w:val="decimal"/>
      <w:lvlText w:val=""/>
      <w:lvlJc w:val="left"/>
    </w:lvl>
    <w:lvl w:ilvl="4" w:tplc="96CA2B7A">
      <w:numFmt w:val="decimal"/>
      <w:lvlText w:val=""/>
      <w:lvlJc w:val="left"/>
    </w:lvl>
    <w:lvl w:ilvl="5" w:tplc="417C9550">
      <w:numFmt w:val="decimal"/>
      <w:lvlText w:val=""/>
      <w:lvlJc w:val="left"/>
    </w:lvl>
    <w:lvl w:ilvl="6" w:tplc="9964239C">
      <w:numFmt w:val="decimal"/>
      <w:lvlText w:val=""/>
      <w:lvlJc w:val="left"/>
    </w:lvl>
    <w:lvl w:ilvl="7" w:tplc="86E6B67C">
      <w:numFmt w:val="decimal"/>
      <w:lvlText w:val=""/>
      <w:lvlJc w:val="left"/>
    </w:lvl>
    <w:lvl w:ilvl="8" w:tplc="3CE80DE4">
      <w:numFmt w:val="decimal"/>
      <w:lvlText w:val=""/>
      <w:lvlJc w:val="left"/>
    </w:lvl>
  </w:abstractNum>
  <w:abstractNum w:abstractNumId="8">
    <w:nsid w:val="6FA855B3"/>
    <w:multiLevelType w:val="hybridMultilevel"/>
    <w:tmpl w:val="1A7EBC2C"/>
    <w:lvl w:ilvl="0" w:tplc="7B32B74C">
      <w:start w:val="1"/>
      <w:numFmt w:val="decimalEnclosedCircle"/>
      <w:lvlText w:val="◦ "/>
      <w:lvlJc w:val="left"/>
      <w:pPr>
        <w:ind w:hanging="360"/>
      </w:pPr>
    </w:lvl>
    <w:lvl w:ilvl="1" w:tplc="7C5419EC">
      <w:numFmt w:val="decimal"/>
      <w:lvlText w:val=""/>
      <w:lvlJc w:val="left"/>
    </w:lvl>
    <w:lvl w:ilvl="2" w:tplc="E3BC64DE">
      <w:numFmt w:val="decimal"/>
      <w:lvlText w:val=""/>
      <w:lvlJc w:val="left"/>
    </w:lvl>
    <w:lvl w:ilvl="3" w:tplc="F104BC56">
      <w:numFmt w:val="decimal"/>
      <w:lvlText w:val=""/>
      <w:lvlJc w:val="left"/>
    </w:lvl>
    <w:lvl w:ilvl="4" w:tplc="C4AC9B52">
      <w:numFmt w:val="decimal"/>
      <w:lvlText w:val=""/>
      <w:lvlJc w:val="left"/>
    </w:lvl>
    <w:lvl w:ilvl="5" w:tplc="24948BFC">
      <w:numFmt w:val="decimal"/>
      <w:lvlText w:val=""/>
      <w:lvlJc w:val="left"/>
    </w:lvl>
    <w:lvl w:ilvl="6" w:tplc="ADDC4874">
      <w:numFmt w:val="decimal"/>
      <w:lvlText w:val=""/>
      <w:lvlJc w:val="left"/>
    </w:lvl>
    <w:lvl w:ilvl="7" w:tplc="DDEAF866">
      <w:numFmt w:val="decimal"/>
      <w:lvlText w:val=""/>
      <w:lvlJc w:val="left"/>
    </w:lvl>
    <w:lvl w:ilvl="8" w:tplc="188AD6FA">
      <w:numFmt w:val="decimal"/>
      <w:lvlText w:val=""/>
      <w:lvlJc w:val="left"/>
    </w:lvl>
  </w:abstractNum>
  <w:abstractNum w:abstractNumId="9">
    <w:nsid w:val="72306185"/>
    <w:multiLevelType w:val="hybridMultilevel"/>
    <w:tmpl w:val="D7DA3E30"/>
    <w:lvl w:ilvl="0" w:tplc="2222F5FE">
      <w:start w:val="1"/>
      <w:numFmt w:val="decimalEnclosedCircle"/>
      <w:lvlText w:val="◦ "/>
      <w:lvlJc w:val="left"/>
      <w:pPr>
        <w:ind w:hanging="360"/>
      </w:pPr>
    </w:lvl>
    <w:lvl w:ilvl="1" w:tplc="91A2A1EA">
      <w:numFmt w:val="decimal"/>
      <w:lvlText w:val=""/>
      <w:lvlJc w:val="left"/>
    </w:lvl>
    <w:lvl w:ilvl="2" w:tplc="3D3EF4C8">
      <w:numFmt w:val="decimal"/>
      <w:lvlText w:val=""/>
      <w:lvlJc w:val="left"/>
    </w:lvl>
    <w:lvl w:ilvl="3" w:tplc="5838E1E2">
      <w:numFmt w:val="decimal"/>
      <w:lvlText w:val=""/>
      <w:lvlJc w:val="left"/>
    </w:lvl>
    <w:lvl w:ilvl="4" w:tplc="594052D6">
      <w:numFmt w:val="decimal"/>
      <w:lvlText w:val=""/>
      <w:lvlJc w:val="left"/>
    </w:lvl>
    <w:lvl w:ilvl="5" w:tplc="44E2E9C8">
      <w:numFmt w:val="decimal"/>
      <w:lvlText w:val=""/>
      <w:lvlJc w:val="left"/>
    </w:lvl>
    <w:lvl w:ilvl="6" w:tplc="24B22D8E">
      <w:numFmt w:val="decimal"/>
      <w:lvlText w:val=""/>
      <w:lvlJc w:val="left"/>
    </w:lvl>
    <w:lvl w:ilvl="7" w:tplc="1F183E3A">
      <w:numFmt w:val="decimal"/>
      <w:lvlText w:val=""/>
      <w:lvlJc w:val="left"/>
    </w:lvl>
    <w:lvl w:ilvl="8" w:tplc="A3F6C322">
      <w:numFmt w:val="decimal"/>
      <w:lvlText w:val=""/>
      <w:lvlJc w:val="left"/>
    </w:lvl>
  </w:abstractNum>
  <w:abstractNum w:abstractNumId="10">
    <w:nsid w:val="768A6548"/>
    <w:multiLevelType w:val="hybridMultilevel"/>
    <w:tmpl w:val="6C86AEEE"/>
    <w:lvl w:ilvl="0" w:tplc="72024FDA">
      <w:start w:val="1"/>
      <w:numFmt w:val="decimalEnclosedCircle"/>
      <w:lvlText w:val="◦ "/>
      <w:lvlJc w:val="left"/>
      <w:pPr>
        <w:ind w:hanging="360"/>
      </w:pPr>
    </w:lvl>
    <w:lvl w:ilvl="1" w:tplc="AFEA43AA">
      <w:numFmt w:val="decimal"/>
      <w:lvlText w:val=""/>
      <w:lvlJc w:val="left"/>
    </w:lvl>
    <w:lvl w:ilvl="2" w:tplc="21528DC0">
      <w:numFmt w:val="decimal"/>
      <w:lvlText w:val=""/>
      <w:lvlJc w:val="left"/>
    </w:lvl>
    <w:lvl w:ilvl="3" w:tplc="AACA94B2">
      <w:numFmt w:val="decimal"/>
      <w:lvlText w:val=""/>
      <w:lvlJc w:val="left"/>
    </w:lvl>
    <w:lvl w:ilvl="4" w:tplc="F572A734">
      <w:numFmt w:val="decimal"/>
      <w:lvlText w:val=""/>
      <w:lvlJc w:val="left"/>
    </w:lvl>
    <w:lvl w:ilvl="5" w:tplc="EB327046">
      <w:numFmt w:val="decimal"/>
      <w:lvlText w:val=""/>
      <w:lvlJc w:val="left"/>
    </w:lvl>
    <w:lvl w:ilvl="6" w:tplc="9AA430A0">
      <w:numFmt w:val="decimal"/>
      <w:lvlText w:val=""/>
      <w:lvlJc w:val="left"/>
    </w:lvl>
    <w:lvl w:ilvl="7" w:tplc="DE725E02">
      <w:numFmt w:val="decimal"/>
      <w:lvlText w:val=""/>
      <w:lvlJc w:val="left"/>
    </w:lvl>
    <w:lvl w:ilvl="8" w:tplc="FCDE62D6">
      <w:numFmt w:val="decimal"/>
      <w:lvlText w:val=""/>
      <w:lvlJc w:val="left"/>
    </w:lvl>
  </w:abstractNum>
  <w:abstractNum w:abstractNumId="11">
    <w:nsid w:val="7A2E793D"/>
    <w:multiLevelType w:val="hybridMultilevel"/>
    <w:tmpl w:val="EADA617E"/>
    <w:lvl w:ilvl="0" w:tplc="B742D9EE">
      <w:start w:val="1"/>
      <w:numFmt w:val="bullet"/>
      <w:lvlText w:val="• "/>
      <w:lvlJc w:val="left"/>
      <w:pPr>
        <w:ind w:hanging="360"/>
      </w:pPr>
    </w:lvl>
    <w:lvl w:ilvl="1" w:tplc="30B01ADC">
      <w:start w:val="1"/>
      <w:numFmt w:val="decimalEnclosedCircle"/>
      <w:lvlText w:val="◦ "/>
      <w:lvlJc w:val="left"/>
      <w:pPr>
        <w:ind w:hanging="360"/>
      </w:pPr>
    </w:lvl>
    <w:lvl w:ilvl="2" w:tplc="B00643EE">
      <w:numFmt w:val="decimal"/>
      <w:lvlText w:val=""/>
      <w:lvlJc w:val="left"/>
    </w:lvl>
    <w:lvl w:ilvl="3" w:tplc="56100CB4">
      <w:numFmt w:val="decimal"/>
      <w:lvlText w:val=""/>
      <w:lvlJc w:val="left"/>
    </w:lvl>
    <w:lvl w:ilvl="4" w:tplc="C99863C4">
      <w:numFmt w:val="decimal"/>
      <w:lvlText w:val=""/>
      <w:lvlJc w:val="left"/>
    </w:lvl>
    <w:lvl w:ilvl="5" w:tplc="CE32ED4C">
      <w:numFmt w:val="decimal"/>
      <w:lvlText w:val=""/>
      <w:lvlJc w:val="left"/>
    </w:lvl>
    <w:lvl w:ilvl="6" w:tplc="23248184">
      <w:numFmt w:val="decimal"/>
      <w:lvlText w:val=""/>
      <w:lvlJc w:val="left"/>
    </w:lvl>
    <w:lvl w:ilvl="7" w:tplc="0AF4A0B8">
      <w:numFmt w:val="decimal"/>
      <w:lvlText w:val=""/>
      <w:lvlJc w:val="left"/>
    </w:lvl>
    <w:lvl w:ilvl="8" w:tplc="2E1688B8">
      <w:numFmt w:val="decimal"/>
      <w:lvlText w:val=""/>
      <w:lvlJc w:val="left"/>
    </w:lvl>
  </w:abstractNum>
  <w:num w:numId="1">
    <w:abstractNumId w:val="11"/>
  </w:num>
  <w:num w:numId="2">
    <w:abstractNumId w:val="6"/>
  </w:num>
  <w:num w:numId="3">
    <w:abstractNumId w:val="5"/>
  </w:num>
  <w:num w:numId="4">
    <w:abstractNumId w:val="4"/>
  </w:num>
  <w:num w:numId="5">
    <w:abstractNumId w:val="10"/>
  </w:num>
  <w:num w:numId="6">
    <w:abstractNumId w:val="0"/>
  </w:num>
  <w:num w:numId="7">
    <w:abstractNumId w:val="8"/>
  </w:num>
  <w:num w:numId="8">
    <w:abstractNumId w:val="9"/>
  </w:num>
  <w:num w:numId="9">
    <w:abstractNumId w:val="3"/>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83C"/>
    <w:rsid w:val="0006683C"/>
    <w:rsid w:val="002A2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59E"/>
    <w:rPr>
      <w:rFonts w:ascii="Lucida Grande" w:hAnsi="Lucida Grande"/>
      <w:sz w:val="18"/>
      <w:szCs w:val="18"/>
    </w:rPr>
  </w:style>
  <w:style w:type="character" w:customStyle="1" w:styleId="BalloonTextChar">
    <w:name w:val="Balloon Text Char"/>
    <w:basedOn w:val="DefaultParagraphFont"/>
    <w:link w:val="BalloonText"/>
    <w:uiPriority w:val="99"/>
    <w:semiHidden/>
    <w:rsid w:val="002A259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16"/>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259E"/>
    <w:rPr>
      <w:rFonts w:ascii="Lucida Grande" w:hAnsi="Lucida Grande"/>
      <w:sz w:val="18"/>
      <w:szCs w:val="18"/>
    </w:rPr>
  </w:style>
  <w:style w:type="character" w:customStyle="1" w:styleId="BalloonTextChar">
    <w:name w:val="Balloon Text Char"/>
    <w:basedOn w:val="DefaultParagraphFont"/>
    <w:link w:val="BalloonText"/>
    <w:uiPriority w:val="99"/>
    <w:semiHidden/>
    <w:rsid w:val="002A259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7.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header" Target="header9.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header" Target="header11.xml"/><Relationship Id="rId29" Type="http://schemas.openxmlformats.org/officeDocument/2006/relationships/footer" Target="footer10.xml"/><Relationship Id="rId30" Type="http://schemas.openxmlformats.org/officeDocument/2006/relationships/footer" Target="footer11.xm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tt.ec/91ea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1988</Words>
  <Characters>11333</Characters>
  <Application>Microsoft Macintosh Word</Application>
  <DocSecurity>0</DocSecurity>
  <Lines>94</Lines>
  <Paragraphs>26</Paragraphs>
  <ScaleCrop>false</ScaleCrop>
  <Company>Flex Pharma, Inc.</Company>
  <LinksUpToDate>false</LinksUpToDate>
  <CharactersWithSpaces>13295</CharactersWithSpaces>
  <SharedDoc>false</SharedDoc>
  <HyperlinksChanged>false</HyperlinksChanged>
  <AppVersion>14.0000</AppVersion>
</Properties>
</file>

<file path=docProps/app0.xml><?xml version="1.0" encoding="utf-8"?>
<Properties xmlns="http://schemas.openxmlformats.org/officeDocument/2006/extended-properties">
  <Application>SSC Docx Exporter</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workiva.com</dc:creator>
  <cp:keywords/>
  <dc:description/>
  <cp:lastModifiedBy>Lauren Mastrocola</cp:lastModifiedBy>
  <cp:revision>2</cp:revision>
  <dcterms:created xsi:type="dcterms:W3CDTF">2015-05-05T20:44:00Z</dcterms:created>
  <dcterms:modified xsi:type="dcterms:W3CDTF">2015-05-05T20:44:00Z</dcterms:modified>
</cp:coreProperties>
</file>